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keepNext w:val="0"/>
        <w:keepLines w:val="0"/>
        <w:pBdr>
          <w:top w:color="000000" w:space="0" w:sz="0" w:val="none"/>
          <w:left w:color="000000" w:space="0" w:sz="0" w:val="none"/>
          <w:bottom w:color="499bc9" w:space="4" w:sz="8" w:val="single"/>
          <w:right w:color="000000" w:space="0" w:sz="0" w:val="none"/>
          <w:between w:color="000000" w:space="0" w:sz="0" w:val="none"/>
        </w:pBdr>
        <w:spacing w:after="300" w:line="240" w:lineRule="auto"/>
        <w:jc w:val="both"/>
        <w:rPr>
          <w:rFonts w:ascii="Georgia" w:cs="Georgia" w:eastAsia="Georgia" w:hAnsi="Georgia"/>
        </w:rPr>
      </w:pPr>
      <w:r w:rsidDel="00000000" w:rsidR="00000000" w:rsidRPr="00000000">
        <w:rPr>
          <w:rFonts w:ascii="Georgia" w:cs="Georgia" w:eastAsia="Georgia" w:hAnsi="Georgia"/>
          <w:rtl w:val="0"/>
        </w:rPr>
        <w:t xml:space="preserve">Nomina a Responsabile del Trattamento ai sensi dell’art. 28 del Regolamento (UE) 2016/679 (GDPR)</w:t>
      </w:r>
    </w:p>
    <w:p w:rsidR="00000000" w:rsidDel="00000000" w:rsidP="00000000" w:rsidRDefault="00000000" w:rsidRPr="00000000" w14:paraId="00000002">
      <w:pPr>
        <w:pStyle w:val="Heading1"/>
        <w:spacing w:after="60" w:before="60" w:line="360" w:lineRule="auto"/>
        <w:jc w:val="both"/>
        <w:rPr>
          <w:rFonts w:ascii="Georgia" w:cs="Georgia" w:eastAsia="Georgia" w:hAnsi="Georgia"/>
          <w:b w:val="1"/>
          <w:bCs w:val="1"/>
          <w:sz w:val="24"/>
          <w:szCs w:val="24"/>
        </w:rPr>
      </w:pPr>
      <w:r w:rsidDel="00000000" w:rsidR="00000000" w:rsidRPr="00000000">
        <w:rPr>
          <w:rFonts w:ascii="Georgia" w:cs="Georgia" w:eastAsia="Georgia" w:hAnsi="Georgia"/>
          <w:b w:val="1"/>
          <w:bCs w:val="1"/>
          <w:sz w:val="24"/>
          <w:szCs w:val="24"/>
          <w:rtl w:val="0"/>
        </w:rPr>
        <w:t xml:space="preserve">PREMESSO CHE</w:t>
      </w:r>
    </w:p>
    <w:p w:rsidR="00000000" w:rsidDel="00000000" w:rsidP="00000000" w:rsidRDefault="00000000" w:rsidRPr="00000000" w14:paraId="00000003">
      <w:pPr>
        <w:numPr>
          <w:ilvl w:val="0"/>
          <w:numId w:val="6"/>
        </w:numPr>
        <w:pBdr>
          <w:top w:color="000000" w:space="0" w:sz="0" w:val="none"/>
          <w:left w:color="000000" w:space="0" w:sz="0" w:val="none"/>
          <w:bottom w:color="000000" w:space="0" w:sz="0" w:val="none"/>
          <w:right w:color="000000" w:space="0" w:sz="0" w:val="none"/>
          <w:between w:color="000000" w:space="0" w:sz="0" w:val="none"/>
        </w:pBdr>
        <w:spacing w:after="60" w:before="60" w:line="360" w:lineRule="auto"/>
        <w:ind w:left="36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La CER Bedizzole  è Titolare del trattamento dei dati personali raccolti nell’ambito della gestione della Comunità Energetica Rinnovabile;</w:t>
      </w:r>
    </w:p>
    <w:p w:rsidR="00000000" w:rsidDel="00000000" w:rsidP="00000000" w:rsidRDefault="00000000" w:rsidRPr="00000000" w14:paraId="00000004">
      <w:pPr>
        <w:numPr>
          <w:ilvl w:val="0"/>
          <w:numId w:val="6"/>
        </w:numPr>
        <w:pBdr>
          <w:top w:color="000000" w:space="0" w:sz="0" w:val="none"/>
          <w:left w:color="000000" w:space="0" w:sz="0" w:val="none"/>
          <w:bottom w:color="000000" w:space="0" w:sz="0" w:val="none"/>
          <w:right w:color="000000" w:space="0" w:sz="0" w:val="none"/>
          <w:between w:color="000000" w:space="0" w:sz="0" w:val="none"/>
        </w:pBdr>
        <w:spacing w:after="60" w:before="60" w:line="360" w:lineRule="auto"/>
        <w:ind w:left="36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La CER ha individuato Garda Uno S.p.A., società in house a totale partecipazione pubblica dei Comuni soci, quale partner tecnologico di riferimento per le attività di supporto alla gestione della CER;</w:t>
      </w:r>
    </w:p>
    <w:p w:rsidR="00000000" w:rsidDel="00000000" w:rsidP="00000000" w:rsidRDefault="00000000" w:rsidRPr="00000000" w14:paraId="00000005">
      <w:pPr>
        <w:numPr>
          <w:ilvl w:val="0"/>
          <w:numId w:val="6"/>
        </w:numPr>
        <w:pBdr>
          <w:top w:color="000000" w:space="0" w:sz="0" w:val="none"/>
          <w:left w:color="000000" w:space="0" w:sz="0" w:val="none"/>
          <w:bottom w:color="000000" w:space="0" w:sz="0" w:val="none"/>
          <w:right w:color="000000" w:space="0" w:sz="0" w:val="none"/>
          <w:between w:color="000000" w:space="0" w:sz="0" w:val="none"/>
        </w:pBdr>
        <w:spacing w:after="60" w:before="60" w:line="360" w:lineRule="auto"/>
        <w:ind w:left="36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Ai sensi dell’art. 28 del GDPR, il Titolare del trattamento ha l’obbligo di designare per iscritto quali Responsabili del trattamento i soggetti che trattano dati personali per suo conto;</w:t>
      </w:r>
    </w:p>
    <w:p w:rsidR="00000000" w:rsidDel="00000000" w:rsidP="00000000" w:rsidRDefault="00000000" w:rsidRPr="00000000" w14:paraId="00000006">
      <w:pPr>
        <w:numPr>
          <w:ilvl w:val="0"/>
          <w:numId w:val="6"/>
        </w:numPr>
        <w:pBdr>
          <w:top w:color="000000" w:space="0" w:sz="0" w:val="none"/>
          <w:left w:color="000000" w:space="0" w:sz="0" w:val="none"/>
          <w:bottom w:color="000000" w:space="0" w:sz="0" w:val="none"/>
          <w:right w:color="000000" w:space="0" w:sz="0" w:val="none"/>
          <w:between w:color="000000" w:space="0" w:sz="0" w:val="none"/>
        </w:pBdr>
        <w:spacing w:after="60" w:before="60" w:line="360" w:lineRule="auto"/>
        <w:ind w:left="36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La CER, pertanto, in attuazione a quanto deliberato dal Consiglio Direttivo in data 17 giugno 2026, designa Garda Uno quale responsabile del trattamento secondo quanto stabilito dal presente documento;</w:t>
      </w:r>
    </w:p>
    <w:p w:rsidR="00000000" w:rsidDel="00000000" w:rsidP="00000000" w:rsidRDefault="00000000" w:rsidRPr="00000000" w14:paraId="00000007">
      <w:pPr>
        <w:numPr>
          <w:ilvl w:val="0"/>
          <w:numId w:val="6"/>
        </w:numPr>
        <w:pBdr>
          <w:top w:color="000000" w:space="0" w:sz="0" w:val="none"/>
          <w:left w:color="000000" w:space="0" w:sz="0" w:val="none"/>
          <w:bottom w:color="000000" w:space="0" w:sz="0" w:val="none"/>
          <w:right w:color="000000" w:space="0" w:sz="0" w:val="none"/>
          <w:between w:color="000000" w:space="0" w:sz="0" w:val="none"/>
        </w:pBdr>
        <w:spacing w:after="60" w:before="60" w:line="360" w:lineRule="auto"/>
        <w:ind w:left="36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L’incarico affidato prevede la gestione delle attività di consulenza tecnica e specialistica nella procedura della richiesta di attivazione del servizio di autoconsumo diffuso e nel supporto al compimento di tutte le attività operative successive all’eventuale accesso al predetto servizio.  </w:t>
      </w:r>
    </w:p>
    <w:p w:rsidR="00000000" w:rsidDel="00000000" w:rsidP="00000000" w:rsidRDefault="00000000" w:rsidRPr="00000000" w14:paraId="00000008">
      <w:pPr>
        <w:spacing w:after="60" w:before="60" w:line="360" w:lineRule="auto"/>
        <w:jc w:val="cente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SI CONVIENE E SI STIPULA QUANTO SEGUE</w:t>
      </w:r>
    </w:p>
    <w:p w:rsidR="00000000" w:rsidDel="00000000" w:rsidP="00000000" w:rsidRDefault="00000000" w:rsidRPr="00000000" w14:paraId="00000009">
      <w:pP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b w:val="1"/>
          <w:bCs w:val="1"/>
          <w:i w:val="1"/>
          <w:iCs w:val="1"/>
          <w:sz w:val="24"/>
          <w:szCs w:val="24"/>
          <w:rtl w:val="0"/>
        </w:rPr>
        <w:t xml:space="preserve">Art. 1 - Scopo e ambito di applicazione</w:t>
      </w:r>
      <w:r w:rsidDel="00000000" w:rsidR="00000000" w:rsidRPr="00000000">
        <w:rPr>
          <w:rtl w:val="0"/>
        </w:rPr>
      </w:r>
    </w:p>
    <w:p w:rsidR="00000000" w:rsidDel="00000000" w:rsidP="00000000" w:rsidRDefault="00000000" w:rsidRPr="00000000" w14:paraId="0000000A">
      <w:pPr>
        <w:numPr>
          <w:ilvl w:val="0"/>
          <w:numId w:val="16"/>
        </w:numP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Scopo del presente documento è garantire il rispetto dell'articolo 28, paragrafi 3 e 4, del regolamento (UE) 2016/679 del 27 aprile 2016, relativo alla protezione delle persone fisiche con riguardo al trattamento dei dati personali, nonché alla libera circolazione di tali dati, che abroga la direttiva 95/46/CE (regolamento generale sulla protezione dei dati).</w:t>
      </w:r>
    </w:p>
    <w:p w:rsidR="00000000" w:rsidDel="00000000" w:rsidP="00000000" w:rsidRDefault="00000000" w:rsidRPr="00000000" w14:paraId="0000000B">
      <w:pPr>
        <w:numPr>
          <w:ilvl w:val="0"/>
          <w:numId w:val="16"/>
        </w:numP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titolari del trattamento e i responsabili del trattamento di cui all'allegato I hanno accettato le presenti clausole al fine di garantire il rispetto dell'articolo 28, paragrafi 3 e 4, del regolamento (UE) 2016/679 e/o dell'articolo 29, paragrafi 3 e 4, del regolamento (UE) 2018/1725.</w:t>
      </w:r>
    </w:p>
    <w:p w:rsidR="00000000" w:rsidDel="00000000" w:rsidP="00000000" w:rsidRDefault="00000000" w:rsidRPr="00000000" w14:paraId="0000000C">
      <w:pPr>
        <w:numPr>
          <w:ilvl w:val="0"/>
          <w:numId w:val="16"/>
        </w:numP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presenti articoli si applicano al trattamento dei dati personali specificato all'allegato II.</w:t>
      </w:r>
    </w:p>
    <w:p w:rsidR="00000000" w:rsidDel="00000000" w:rsidP="00000000" w:rsidRDefault="00000000" w:rsidRPr="00000000" w14:paraId="0000000D">
      <w:pPr>
        <w:numPr>
          <w:ilvl w:val="0"/>
          <w:numId w:val="16"/>
        </w:numP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Gli allegati da I a IV costituiscono parte integrante delle clausole.</w:t>
      </w:r>
    </w:p>
    <w:p w:rsidR="00000000" w:rsidDel="00000000" w:rsidP="00000000" w:rsidRDefault="00000000" w:rsidRPr="00000000" w14:paraId="0000000E">
      <w:pPr>
        <w:spacing w:after="60" w:before="60" w:line="360" w:lineRule="auto"/>
        <w:jc w:val="both"/>
        <w:rPr>
          <w:rFonts w:ascii="Georgia" w:cs="Georgia" w:eastAsia="Georgia" w:hAnsi="Georgia"/>
          <w:b w:val="1"/>
          <w:bCs w:val="1"/>
          <w:sz w:val="24"/>
          <w:szCs w:val="24"/>
        </w:rPr>
      </w:pPr>
      <w:r w:rsidDel="00000000" w:rsidR="00000000" w:rsidRPr="00000000">
        <w:rPr>
          <w:rtl w:val="0"/>
        </w:rPr>
      </w:r>
    </w:p>
    <w:p w:rsidR="00000000" w:rsidDel="00000000" w:rsidP="00000000" w:rsidRDefault="00000000" w:rsidRPr="00000000" w14:paraId="0000000F">
      <w:pP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b w:val="1"/>
          <w:bCs w:val="1"/>
          <w:sz w:val="24"/>
          <w:szCs w:val="24"/>
          <w:rtl w:val="0"/>
        </w:rPr>
        <w:t xml:space="preserve">Art. 2 - Obblighi delle parti</w:t>
      </w:r>
      <w:r w:rsidDel="00000000" w:rsidR="00000000" w:rsidRPr="00000000">
        <w:rPr>
          <w:rtl w:val="0"/>
        </w:rPr>
      </w:r>
    </w:p>
    <w:p w:rsidR="00000000" w:rsidDel="00000000" w:rsidP="00000000" w:rsidRDefault="00000000" w:rsidRPr="00000000" w14:paraId="00000010">
      <w:pPr>
        <w:spacing w:after="60" w:before="60" w:line="360" w:lineRule="auto"/>
        <w:jc w:val="both"/>
        <w:rPr>
          <w:rFonts w:ascii="Georgia" w:cs="Georgia" w:eastAsia="Georgia" w:hAnsi="Georgia"/>
          <w:b w:val="1"/>
          <w:bCs w:val="1"/>
          <w:sz w:val="24"/>
          <w:szCs w:val="24"/>
        </w:rPr>
      </w:pPr>
      <w:r w:rsidDel="00000000" w:rsidR="00000000" w:rsidRPr="00000000">
        <w:rPr>
          <w:rFonts w:ascii="Georgia" w:cs="Georgia" w:eastAsia="Georgia" w:hAnsi="Georgia"/>
          <w:b w:val="1"/>
          <w:bCs w:val="1"/>
          <w:i w:val="1"/>
          <w:iCs w:val="1"/>
          <w:sz w:val="24"/>
          <w:szCs w:val="24"/>
          <w:rtl w:val="0"/>
        </w:rPr>
        <w:t xml:space="preserve">Descrizione del trattamento</w:t>
      </w:r>
      <w:r w:rsidDel="00000000" w:rsidR="00000000" w:rsidRPr="00000000">
        <w:rPr>
          <w:rtl w:val="0"/>
        </w:rPr>
      </w:r>
    </w:p>
    <w:p w:rsidR="00000000" w:rsidDel="00000000" w:rsidP="00000000" w:rsidRDefault="00000000" w:rsidRPr="00000000" w14:paraId="00000011">
      <w:pP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dettagli dei trattamenti, in particolare le categorie di dati personali e le finalità del trattamento per le quali i dati personali sono trattati per conto del titolare del trattamento, sono specificati nell'allegato II.</w:t>
      </w:r>
    </w:p>
    <w:p w:rsidR="00000000" w:rsidDel="00000000" w:rsidP="00000000" w:rsidRDefault="00000000" w:rsidRPr="00000000" w14:paraId="00000012">
      <w:pPr>
        <w:numPr>
          <w:ilvl w:val="0"/>
          <w:numId w:val="5"/>
        </w:numP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b w:val="1"/>
          <w:bCs w:val="1"/>
          <w:sz w:val="24"/>
          <w:szCs w:val="24"/>
          <w:rtl w:val="0"/>
        </w:rPr>
        <w:t xml:space="preserve">Istruzioni</w:t>
      </w:r>
      <w:r w:rsidDel="00000000" w:rsidR="00000000" w:rsidRPr="00000000">
        <w:rPr>
          <w:rtl w:val="0"/>
        </w:rPr>
      </w:r>
    </w:p>
    <w:p w:rsidR="00000000" w:rsidDel="00000000" w:rsidP="00000000" w:rsidRDefault="00000000" w:rsidRPr="00000000" w14:paraId="00000013">
      <w:pPr>
        <w:numPr>
          <w:ilvl w:val="0"/>
          <w:numId w:val="14"/>
        </w:numP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Il responsabile del trattamento tratta i dati personali soltanto su istruzione documentata del titolare del trattamento, salvo che lo richieda il diritto dell'Unione o nazionale cui è soggetto il responsabile del trattamento. In tal caso, il responsabile del trattamento informa il titolare del trattamento circa tale obbligo giuridico prima del trattamento, a meno che il diritto lo vieti per rilevanti motivi di interesse pubblico. Il titolare del trattamento può anche impartire istruzioni successive per tutta la durata del trattamento dei dati personali. Tali istruzioni sono sempre documentate.</w:t>
      </w:r>
    </w:p>
    <w:p w:rsidR="00000000" w:rsidDel="00000000" w:rsidP="00000000" w:rsidRDefault="00000000" w:rsidRPr="00000000" w14:paraId="00000014">
      <w:pPr>
        <w:numPr>
          <w:ilvl w:val="0"/>
          <w:numId w:val="14"/>
        </w:numP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Il responsabile del trattamento informa immediatamente il titolare del trattamento qualora, a suo parere, le istruzioni del titolare del trattamento violino il regolamento (UE) 2016/679/ il regolamento (UE) 2018/1725 o le disposizioni applicabili, nazionali o dell'Unione, relative alla protezione dei dati.</w:t>
      </w:r>
    </w:p>
    <w:p w:rsidR="00000000" w:rsidDel="00000000" w:rsidP="00000000" w:rsidRDefault="00000000" w:rsidRPr="00000000" w14:paraId="00000015">
      <w:pP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b w:val="1"/>
          <w:bCs w:val="1"/>
          <w:sz w:val="24"/>
          <w:szCs w:val="24"/>
          <w:rtl w:val="0"/>
        </w:rPr>
        <w:t xml:space="preserve">Limitazione delle finalità</w:t>
      </w:r>
      <w:r w:rsidDel="00000000" w:rsidR="00000000" w:rsidRPr="00000000">
        <w:rPr>
          <w:rtl w:val="0"/>
        </w:rPr>
      </w:r>
    </w:p>
    <w:p w:rsidR="00000000" w:rsidDel="00000000" w:rsidP="00000000" w:rsidRDefault="00000000" w:rsidRPr="00000000" w14:paraId="00000016">
      <w:pP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Il responsabile del trattamento tratta i dati personali soltanto per le finalità specifiche del trattamento di cui all'allegato II, salvo ulteriori istruzioni del titolare del trattamento.</w:t>
      </w:r>
    </w:p>
    <w:p w:rsidR="00000000" w:rsidDel="00000000" w:rsidP="00000000" w:rsidRDefault="00000000" w:rsidRPr="00000000" w14:paraId="00000017">
      <w:pPr>
        <w:numPr>
          <w:ilvl w:val="0"/>
          <w:numId w:val="15"/>
        </w:numP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b w:val="1"/>
          <w:bCs w:val="1"/>
          <w:sz w:val="24"/>
          <w:szCs w:val="24"/>
          <w:rtl w:val="0"/>
        </w:rPr>
        <w:t xml:space="preserve">Durata del trattamento dei dati personali</w:t>
      </w:r>
      <w:r w:rsidDel="00000000" w:rsidR="00000000" w:rsidRPr="00000000">
        <w:rPr>
          <w:rtl w:val="0"/>
        </w:rPr>
      </w:r>
    </w:p>
    <w:p w:rsidR="00000000" w:rsidDel="00000000" w:rsidP="00000000" w:rsidRDefault="00000000" w:rsidRPr="00000000" w14:paraId="00000018">
      <w:pP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Il responsabile del trattamento tratta i dati personali soltanto per la durata specificata nell'allegato II.</w:t>
      </w:r>
    </w:p>
    <w:p w:rsidR="00000000" w:rsidDel="00000000" w:rsidP="00000000" w:rsidRDefault="00000000" w:rsidRPr="00000000" w14:paraId="00000019">
      <w:pPr>
        <w:numPr>
          <w:ilvl w:val="0"/>
          <w:numId w:val="8"/>
        </w:numPr>
        <w:spacing w:after="60" w:before="60" w:line="360" w:lineRule="auto"/>
        <w:jc w:val="both"/>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1A">
      <w:pPr>
        <w:numPr>
          <w:ilvl w:val="0"/>
          <w:numId w:val="8"/>
        </w:numPr>
        <w:spacing w:after="60" w:before="60" w:line="360" w:lineRule="auto"/>
        <w:jc w:val="both"/>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1B">
      <w:pPr>
        <w:numPr>
          <w:ilvl w:val="0"/>
          <w:numId w:val="8"/>
        </w:numP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b w:val="1"/>
          <w:bCs w:val="1"/>
          <w:sz w:val="24"/>
          <w:szCs w:val="24"/>
          <w:rtl w:val="0"/>
        </w:rPr>
        <w:t xml:space="preserve">Sicurezza del trattamento</w:t>
      </w:r>
      <w:r w:rsidDel="00000000" w:rsidR="00000000" w:rsidRPr="00000000">
        <w:rPr>
          <w:rtl w:val="0"/>
        </w:rPr>
      </w:r>
    </w:p>
    <w:p w:rsidR="00000000" w:rsidDel="00000000" w:rsidP="00000000" w:rsidRDefault="00000000" w:rsidRPr="00000000" w14:paraId="0000001C">
      <w:pPr>
        <w:numPr>
          <w:ilvl w:val="0"/>
          <w:numId w:val="2"/>
        </w:numP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Il responsabile del trattamento mette in atto almeno le misure tecniche e organizzative specificate nell'allegato III per garantire la sicurezza dei dati personali. Ciò include la protezione da ogni violazione di sicurezza che comporti accidentalmente o in modo illecito la distruzione, la perdita, la modifica, la divulgazione non autorizzata o l'accesso ai dati (violazione dei dati personali). Nel valutare l'adeguato livello di sicurezza, le parti tengono debitamente conto dello stato dell'arte, dei costi di attuazione, nonché della natura, dell'ambito di applicazione, del contesto e delle finalità del trattamento, come anche dei rischi per gli interessati.</w:t>
      </w:r>
    </w:p>
    <w:p w:rsidR="00000000" w:rsidDel="00000000" w:rsidP="00000000" w:rsidRDefault="00000000" w:rsidRPr="00000000" w14:paraId="0000001D">
      <w:pPr>
        <w:numPr>
          <w:ilvl w:val="0"/>
          <w:numId w:val="2"/>
        </w:numP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Il responsabile del trattamento concede l'accesso ai dati personali oggetto di trattamento ai membri del suo personale soltanto nella misura strettamente necessaria per l'attuazione, la gestione e il controllo del contratto. Il responsabile del trattamento garantisce che le persone autorizzate al trattamento dei dati personali ricevuti si siano impegnate alla riservatezza o abbiano un adeguato obbligo legale di riservatezza. </w:t>
      </w:r>
    </w:p>
    <w:p w:rsidR="00000000" w:rsidDel="00000000" w:rsidP="00000000" w:rsidRDefault="00000000" w:rsidRPr="00000000" w14:paraId="0000001E">
      <w:pPr>
        <w:numPr>
          <w:ilvl w:val="0"/>
          <w:numId w:val="19"/>
        </w:numP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b w:val="1"/>
          <w:bCs w:val="1"/>
          <w:sz w:val="24"/>
          <w:szCs w:val="24"/>
          <w:rtl w:val="0"/>
        </w:rPr>
        <w:t xml:space="preserve">Documentazione e rispetto</w:t>
      </w:r>
      <w:r w:rsidDel="00000000" w:rsidR="00000000" w:rsidRPr="00000000">
        <w:rPr>
          <w:rtl w:val="0"/>
        </w:rPr>
      </w:r>
    </w:p>
    <w:p w:rsidR="00000000" w:rsidDel="00000000" w:rsidP="00000000" w:rsidRDefault="00000000" w:rsidRPr="00000000" w14:paraId="0000001F">
      <w:pPr>
        <w:numPr>
          <w:ilvl w:val="0"/>
          <w:numId w:val="1"/>
        </w:numP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Le parti devono essere in grado di dimostrare il rispetto delle presenti clausole.</w:t>
      </w:r>
    </w:p>
    <w:p w:rsidR="00000000" w:rsidDel="00000000" w:rsidP="00000000" w:rsidRDefault="00000000" w:rsidRPr="00000000" w14:paraId="00000020">
      <w:pPr>
        <w:numPr>
          <w:ilvl w:val="0"/>
          <w:numId w:val="1"/>
        </w:numP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Il responsabile del trattamento risponde prontamente e adeguatamente alle richieste di informazioni del titolare del trattamento relative al trattamento dei dati conformemente alle presenti clausole.</w:t>
      </w:r>
    </w:p>
    <w:p w:rsidR="00000000" w:rsidDel="00000000" w:rsidP="00000000" w:rsidRDefault="00000000" w:rsidRPr="00000000" w14:paraId="00000021">
      <w:pPr>
        <w:numPr>
          <w:ilvl w:val="0"/>
          <w:numId w:val="1"/>
        </w:numP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Il responsabile del trattamento mette a disposizione del titolare del trattamento tutte le informazioni necessarie a dimostrare il rispetto degli obblighi stabiliti nelle presenti clausole e che derivano direttamente dal regolamento (UE) 2016/679. Su richiesta del titolare del trattamento, il responsabile del trattamento consente e contribuisce alle attività di revisione delle attività di trattamento di cui alle presenti clausole, a intervalli ragionevoli o se vi sono indicazioni di inosservanza. </w:t>
      </w:r>
    </w:p>
    <w:p w:rsidR="00000000" w:rsidDel="00000000" w:rsidP="00000000" w:rsidRDefault="00000000" w:rsidRPr="00000000" w14:paraId="00000022">
      <w:pPr>
        <w:numPr>
          <w:ilvl w:val="0"/>
          <w:numId w:val="1"/>
        </w:numP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Il titolare del trattamento può scegliere di condurre l'attività di revisione autonomamente o incaricare un revisore indipendente. Le attività di revisione possono comprendere anche ispezioni nei locali o nelle strutture fisiche del responsabile del trattamento e, se del caso, sono effettuate con un preavviso ragionevole.</w:t>
      </w:r>
    </w:p>
    <w:p w:rsidR="00000000" w:rsidDel="00000000" w:rsidP="00000000" w:rsidRDefault="00000000" w:rsidRPr="00000000" w14:paraId="00000023">
      <w:pPr>
        <w:numPr>
          <w:ilvl w:val="0"/>
          <w:numId w:val="1"/>
        </w:numP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Su richiesta, le parti mettono a disposizione della o delle autorità di controllo competenti le informazioni di cui alla presente clausola, compresi i risultati di eventuali attività di revisione.</w:t>
      </w:r>
    </w:p>
    <w:p w:rsidR="00000000" w:rsidDel="00000000" w:rsidP="00000000" w:rsidRDefault="00000000" w:rsidRPr="00000000" w14:paraId="00000024">
      <w:pPr>
        <w:numPr>
          <w:ilvl w:val="0"/>
          <w:numId w:val="9"/>
        </w:numP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b w:val="1"/>
          <w:bCs w:val="1"/>
          <w:sz w:val="24"/>
          <w:szCs w:val="24"/>
          <w:rtl w:val="0"/>
        </w:rPr>
        <w:t xml:space="preserve">Ricorso a sub-responsabili del trattamento</w:t>
      </w:r>
      <w:r w:rsidDel="00000000" w:rsidR="00000000" w:rsidRPr="00000000">
        <w:rPr>
          <w:rtl w:val="0"/>
        </w:rPr>
      </w:r>
    </w:p>
    <w:p w:rsidR="00000000" w:rsidDel="00000000" w:rsidP="00000000" w:rsidRDefault="00000000" w:rsidRPr="00000000" w14:paraId="00000025">
      <w:pP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Il responsabile del trattamento ha l'autorizzazione generale del titolare del trattamento per ricorrere a sub-responsabili del trattamento sulla base di un elenco concordato. Il responsabile del trattamento informa specificamente per iscritto il titolare del trattamento di eventuali modifiche previste di tale elenco riguardanti l'aggiunta o la sostituzione di sub-responsabili del trattamento con un anticipo di almeno 30 gg, dando così al titolare del trattamento tempo sufficiente per poter opporsi a tali modifiche prima del ricorso al o ai sub-responsabili del trattamento in questione. Il responsabile del trattamento fornisce al titolare del trattamento le informazioni necessarie per consentirgli di esercitare il diritto di opposizione.</w:t>
      </w:r>
    </w:p>
    <w:p w:rsidR="00000000" w:rsidDel="00000000" w:rsidP="00000000" w:rsidRDefault="00000000" w:rsidRPr="00000000" w14:paraId="00000026">
      <w:pP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Qualora il responsabile del trattamento ricorra a un sub-responsabile del trattamento per l'esecuzione di specifiche attività di trattamento (per conto del responsabile del trattamento), stipula un contratto che impone al sub-responsabile del trattamento, nella sostanza, gli stessi obblighi in materia di protezione dei dati imposti al responsabile del trattamento conformemente alle presenti clausole. Il responsabile del trattamento si assicura che il sub-responsabile del trattamento rispetti gli obblighi cui il responsabile del trattamento è soggetto a norma delle presenti clausole e del regolamento (UE) 2016/679.</w:t>
      </w:r>
    </w:p>
    <w:p w:rsidR="00000000" w:rsidDel="00000000" w:rsidP="00000000" w:rsidRDefault="00000000" w:rsidRPr="00000000" w14:paraId="00000027">
      <w:pP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Su richiesta del titolare del trattamento, il responsabile del trattamento gli fornisce copia del contratto stipulato con il sub-responsabile del trattamento e di ogni successiva modifica. Nella misura necessaria a proteggere segreti aziendali o altre informazioni riservate, compresi i dati personali, il responsabile del trattamento può espungere informazioni dal contratto prima di trasmetterne una copia.</w:t>
      </w:r>
    </w:p>
    <w:p w:rsidR="00000000" w:rsidDel="00000000" w:rsidP="00000000" w:rsidRDefault="00000000" w:rsidRPr="00000000" w14:paraId="00000028">
      <w:pP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Il responsabile del trattamento rimane pienamente responsabile nei confronti del titolare del trattamento dell'adempimento degli obblighi del sub-responsabile del trattamento derivanti dal contratto che questi ha stipulato con il responsabile del trattamento. Il responsabile del trattamento notifica al titolare del trattamento qualunque inadempimento, da parte del sub-responsabile del trattamento, degli obblighi contrattuali. </w:t>
      </w:r>
    </w:p>
    <w:p w:rsidR="00000000" w:rsidDel="00000000" w:rsidP="00000000" w:rsidRDefault="00000000" w:rsidRPr="00000000" w14:paraId="00000029">
      <w:pPr>
        <w:numPr>
          <w:ilvl w:val="0"/>
          <w:numId w:val="4"/>
        </w:numP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b w:val="1"/>
          <w:bCs w:val="1"/>
          <w:sz w:val="24"/>
          <w:szCs w:val="24"/>
          <w:rtl w:val="0"/>
        </w:rPr>
        <w:t xml:space="preserve">Trasferimenti internazionali</w:t>
      </w:r>
      <w:r w:rsidDel="00000000" w:rsidR="00000000" w:rsidRPr="00000000">
        <w:rPr>
          <w:rtl w:val="0"/>
        </w:rPr>
      </w:r>
    </w:p>
    <w:p w:rsidR="00000000" w:rsidDel="00000000" w:rsidP="00000000" w:rsidRDefault="00000000" w:rsidRPr="00000000" w14:paraId="0000002A">
      <w:pPr>
        <w:numPr>
          <w:ilvl w:val="0"/>
          <w:numId w:val="18"/>
        </w:numP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Qualunque trasferimento di dati verso un paese terzo o un'organizzazione internazionale da parte del responsabile del trattamento è effettuato soltanto su istruzione documentata del titolare del trattamento o per adempiere a un requisito specifico a norma del diritto dell'Unione o degli Stati membri cui è soggetto il responsabile del trattamento, e nel rispetto del capo V del regolamento (UE) 2016/679.</w:t>
      </w:r>
    </w:p>
    <w:p w:rsidR="00000000" w:rsidDel="00000000" w:rsidP="00000000" w:rsidRDefault="00000000" w:rsidRPr="00000000" w14:paraId="0000002B">
      <w:pPr>
        <w:numPr>
          <w:ilvl w:val="0"/>
          <w:numId w:val="18"/>
        </w:numP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Il titolare del trattamento conviene che, qualora il responsabile del trattamento ricorra a un sub-responsabile del trattamento conformemente a quanto stabilito dal presente documento per l'esecuzione di specifiche attività di trattamento (per conto del titolare del trattamento) e tali attività di trattamento comportino il trasferimento di dati personali ai sensi del capo V del regolamento (UE) 2016/679, il responsabile del trattamento e il sub-responsabile del trattamento possono garantire il rispetto del capo V del regolamento (UE) 2016/679 utilizzando le clausole contrattuali tipo adottate dalla Commissione conformemente all'articolo 46, paragrafo 2, del regolamento (UE) 2016/679, purché le condizioni per l'uso di tali clausole contrattuali tipo siano soddisfatte.</w:t>
      </w:r>
    </w:p>
    <w:p w:rsidR="00000000" w:rsidDel="00000000" w:rsidP="00000000" w:rsidRDefault="00000000" w:rsidRPr="00000000" w14:paraId="0000002C">
      <w:pP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b w:val="1"/>
          <w:bCs w:val="1"/>
          <w:sz w:val="24"/>
          <w:szCs w:val="24"/>
          <w:rtl w:val="0"/>
        </w:rPr>
        <w:t xml:space="preserve">Assistenza al titolare del trattamento</w:t>
      </w:r>
      <w:r w:rsidDel="00000000" w:rsidR="00000000" w:rsidRPr="00000000">
        <w:rPr>
          <w:rtl w:val="0"/>
        </w:rPr>
      </w:r>
    </w:p>
    <w:p w:rsidR="00000000" w:rsidDel="00000000" w:rsidP="00000000" w:rsidRDefault="00000000" w:rsidRPr="00000000" w14:paraId="0000002D">
      <w:pPr>
        <w:numPr>
          <w:ilvl w:val="0"/>
          <w:numId w:val="11"/>
        </w:numP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Il responsabile del trattamento notifica prontamente al titolare del trattamento qualunque richiesta ricevuta dall'interessato. Non risponde egli stesso alla richiesta, a meno che sia stato autorizzato in tal senso dal titolare del trattamento.</w:t>
      </w:r>
    </w:p>
    <w:p w:rsidR="00000000" w:rsidDel="00000000" w:rsidP="00000000" w:rsidRDefault="00000000" w:rsidRPr="00000000" w14:paraId="0000002E">
      <w:pPr>
        <w:numPr>
          <w:ilvl w:val="0"/>
          <w:numId w:val="11"/>
        </w:numP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Il responsabile del trattamento assiste il titolare del trattamento nell'adempimento degli obblighi di rispondere alle richieste degli interessati per l'esercizio dei loro diritti, tenuto conto della natura del trattamento. Nell'adempiere agli obblighi di cui alle lettere a) e b), il responsabile del trattamento si attiene alle istruzioni del titolare del trattamento.</w:t>
      </w:r>
    </w:p>
    <w:p w:rsidR="00000000" w:rsidDel="00000000" w:rsidP="00000000" w:rsidRDefault="00000000" w:rsidRPr="00000000" w14:paraId="0000002F">
      <w:pPr>
        <w:numPr>
          <w:ilvl w:val="0"/>
          <w:numId w:val="11"/>
        </w:numP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Oltre all'obbligo di assistere il titolare del trattamento in conformità del presente articolo, il responsabile del trattamento assiste il titolare del trattamento anche nel garantire il rispetto dei seguenti obblighi, tenuto conto della natura del trattamento dei dati e delle informazioni a disposizione del responsabile del trattamento:</w:t>
      </w:r>
    </w:p>
    <w:p w:rsidR="00000000" w:rsidDel="00000000" w:rsidP="00000000" w:rsidRDefault="00000000" w:rsidRPr="00000000" w14:paraId="00000030">
      <w:pP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1) l'obbligo di effettuare una valutazione dell'impatto dei trattamenti previsti sulla protezione dei dati personali («valutazione d'impatto sulla protezione dei dati») qualora un tipo di trattamento possa presentare un rischio elevato per i diritti e le libertà delle persone fisiche;</w:t>
      </w:r>
    </w:p>
    <w:p w:rsidR="00000000" w:rsidDel="00000000" w:rsidP="00000000" w:rsidRDefault="00000000" w:rsidRPr="00000000" w14:paraId="00000031">
      <w:pP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2) l'obbligo, prima di procedere al trattamento, di consultare la o le autorità di controllo competenti qualora la valutazione d'impatto sulla protezione dei dati indichi che il trattamento presenterebbe un rischio elevato in assenza di misure adottate dal titolare del trattamento per attenuare il rischio;</w:t>
      </w:r>
    </w:p>
    <w:p w:rsidR="00000000" w:rsidDel="00000000" w:rsidP="00000000" w:rsidRDefault="00000000" w:rsidRPr="00000000" w14:paraId="00000032">
      <w:pP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3) l'obbligo di garantire che i dati personali siano esatti e aggiornati, informando senza indugio il titolare del trattamento qualora il responsabile del trattamento venga a conoscenza del fatto che i dati personali che sta trattando sono inesatti o obsoleti;</w:t>
      </w:r>
    </w:p>
    <w:p w:rsidR="00000000" w:rsidDel="00000000" w:rsidP="00000000" w:rsidRDefault="00000000" w:rsidRPr="00000000" w14:paraId="00000033">
      <w:pP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4) gli obblighi di cui all'articolo 32 regolamento (UE) 2016/679.</w:t>
      </w:r>
    </w:p>
    <w:p w:rsidR="00000000" w:rsidDel="00000000" w:rsidP="00000000" w:rsidRDefault="00000000" w:rsidRPr="00000000" w14:paraId="00000034">
      <w:pP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Le parti stabiliscono nell'allegato III le misure tecniche e organizzative adeguate con cui il responsabile del trattamento è tenuto ad assistere il titolare del trattamento nell'applicazione della presente clausola, nonché l'ambito di applicazione e la portata dell'assistenza richiesta.</w:t>
      </w:r>
    </w:p>
    <w:p w:rsidR="00000000" w:rsidDel="00000000" w:rsidP="00000000" w:rsidRDefault="00000000" w:rsidRPr="00000000" w14:paraId="00000035">
      <w:pP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b w:val="1"/>
          <w:bCs w:val="1"/>
          <w:sz w:val="24"/>
          <w:szCs w:val="24"/>
          <w:rtl w:val="0"/>
        </w:rPr>
        <w:t xml:space="preserve">Notifica di una violazione dei dati personali</w:t>
      </w:r>
      <w:r w:rsidDel="00000000" w:rsidR="00000000" w:rsidRPr="00000000">
        <w:rPr>
          <w:rtl w:val="0"/>
        </w:rPr>
      </w:r>
    </w:p>
    <w:p w:rsidR="00000000" w:rsidDel="00000000" w:rsidP="00000000" w:rsidRDefault="00000000" w:rsidRPr="00000000" w14:paraId="00000036">
      <w:pP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 caso di violazione dei dati personali, il responsabile del trattamento coopera con il titolare del trattamento e lo assiste nell'adempimento degli obblighi che incombono a quest'ultimo a norma degli articoli 33 e 34 del regolamento (UE) 2016/679, ove applicabile, tenuto conto della natura del trattamento e delle informazioni a disposizione del responsabile del trattamento. </w:t>
      </w:r>
    </w:p>
    <w:p w:rsidR="00000000" w:rsidDel="00000000" w:rsidP="00000000" w:rsidRDefault="00000000" w:rsidRPr="00000000" w14:paraId="00000037">
      <w:pP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b w:val="1"/>
          <w:bCs w:val="1"/>
          <w:sz w:val="24"/>
          <w:szCs w:val="24"/>
          <w:rtl w:val="0"/>
        </w:rPr>
        <w:t xml:space="preserve">Violazione riguardante dati trattati dal titolare del trattamento</w:t>
      </w:r>
      <w:r w:rsidDel="00000000" w:rsidR="00000000" w:rsidRPr="00000000">
        <w:rPr>
          <w:rtl w:val="0"/>
        </w:rPr>
      </w:r>
    </w:p>
    <w:p w:rsidR="00000000" w:rsidDel="00000000" w:rsidP="00000000" w:rsidRDefault="00000000" w:rsidRPr="00000000" w14:paraId="00000038">
      <w:pP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 caso di una violazione dei dati personali trattati dal titolare del trattamento, il responsabile del trattamento assiste il titolare del trattamento:</w:t>
      </w:r>
    </w:p>
    <w:p w:rsidR="00000000" w:rsidDel="00000000" w:rsidP="00000000" w:rsidRDefault="00000000" w:rsidRPr="00000000" w14:paraId="00000039">
      <w:pPr>
        <w:numPr>
          <w:ilvl w:val="0"/>
          <w:numId w:val="13"/>
        </w:numP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nel notificare la violazione dei dati personali alla o alle autorità di controllo competenti, senza ingiustificato ritardo dopo che il titolare del trattamento ne è venuto a conoscenza, se del caso(a meno che sia improbabile che la violazione dei dati personali presenti un rischio per i diritti e le libertà delle persone fisiche);</w:t>
      </w:r>
    </w:p>
    <w:p w:rsidR="00000000" w:rsidDel="00000000" w:rsidP="00000000" w:rsidRDefault="00000000" w:rsidRPr="00000000" w14:paraId="0000003A">
      <w:pPr>
        <w:numPr>
          <w:ilvl w:val="0"/>
          <w:numId w:val="13"/>
        </w:numP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nell'ottenere le seguenti informazioni che, in conformità dell'articolo 33, paragrafo 3, del regolamento (UE) 2016/679, devono essere indicate nella notifica del titolare del trattamento e includere almeno:</w:t>
      </w:r>
    </w:p>
    <w:p w:rsidR="00000000" w:rsidDel="00000000" w:rsidP="00000000" w:rsidRDefault="00000000" w:rsidRPr="00000000" w14:paraId="0000003B">
      <w:pPr>
        <w:numPr>
          <w:ilvl w:val="0"/>
          <w:numId w:val="7"/>
        </w:numPr>
        <w:spacing w:after="60" w:before="60" w:line="360" w:lineRule="auto"/>
        <w:ind w:left="1080" w:hanging="36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la natura dei dati personali compresi, ove possibile, le categorie e il numero approssimativo di interessati in questione nonché le categorie e il numero approssimativo di registrazioni dei dati personali in questione;</w:t>
      </w:r>
    </w:p>
    <w:p w:rsidR="00000000" w:rsidDel="00000000" w:rsidP="00000000" w:rsidRDefault="00000000" w:rsidRPr="00000000" w14:paraId="0000003C">
      <w:pPr>
        <w:numPr>
          <w:ilvl w:val="0"/>
          <w:numId w:val="7"/>
        </w:numPr>
        <w:spacing w:after="60" w:before="60" w:line="360" w:lineRule="auto"/>
        <w:ind w:left="1080" w:hanging="36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le probabili conseguenze della violazione dei dati personali;</w:t>
      </w:r>
    </w:p>
    <w:p w:rsidR="00000000" w:rsidDel="00000000" w:rsidP="00000000" w:rsidRDefault="00000000" w:rsidRPr="00000000" w14:paraId="0000003D">
      <w:pPr>
        <w:numPr>
          <w:ilvl w:val="0"/>
          <w:numId w:val="7"/>
        </w:numPr>
        <w:spacing w:after="60" w:before="60" w:line="360" w:lineRule="auto"/>
        <w:ind w:left="1080" w:hanging="36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le misure adottate o di cui si propone l'adozione da parte del titolare del trattamento per porre rimedio alla violazione dei dati personali, se del caso anche per attenuarne i possibili effetti negativi.</w:t>
      </w:r>
    </w:p>
    <w:p w:rsidR="00000000" w:rsidDel="00000000" w:rsidP="00000000" w:rsidRDefault="00000000" w:rsidRPr="00000000" w14:paraId="0000003E">
      <w:pP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Qualora, e nella misura in cui, non sia possibile fornire tutte le informazioni contemporaneamente, la notifica iniziale contiene le informazioni disponibili in quel momento, e le altre informazioni sono fornite successivamente, non appena disponibili, senza ingiustificato ritardo.</w:t>
      </w:r>
    </w:p>
    <w:p w:rsidR="00000000" w:rsidDel="00000000" w:rsidP="00000000" w:rsidRDefault="00000000" w:rsidRPr="00000000" w14:paraId="0000003F">
      <w:pPr>
        <w:numPr>
          <w:ilvl w:val="0"/>
          <w:numId w:val="10"/>
        </w:numP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Nell'adempiere, in conformità dell'articolo 34 del regolamento (UE) 2016/679, all'obbligo di comunicare senza ingiustificato ritardo la violazione dei dati personali all'interessato, qualora la violazione dei dati personali sia suscettibile di presentare un rischio elevato per i diritti e le libertà delle persone fisiche.</w:t>
      </w:r>
    </w:p>
    <w:p w:rsidR="00000000" w:rsidDel="00000000" w:rsidP="00000000" w:rsidRDefault="00000000" w:rsidRPr="00000000" w14:paraId="00000040">
      <w:pPr>
        <w:numPr>
          <w:ilvl w:val="0"/>
          <w:numId w:val="17"/>
        </w:numP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b w:val="1"/>
          <w:bCs w:val="1"/>
          <w:sz w:val="24"/>
          <w:szCs w:val="24"/>
          <w:rtl w:val="0"/>
        </w:rPr>
        <w:t xml:space="preserve">Violazione riguardante dati trattati dal responsabile del trattamento</w:t>
      </w:r>
      <w:r w:rsidDel="00000000" w:rsidR="00000000" w:rsidRPr="00000000">
        <w:rPr>
          <w:rtl w:val="0"/>
        </w:rPr>
      </w:r>
    </w:p>
    <w:p w:rsidR="00000000" w:rsidDel="00000000" w:rsidP="00000000" w:rsidRDefault="00000000" w:rsidRPr="00000000" w14:paraId="00000041">
      <w:pP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 caso di una violazione dei dati personali trattati dal responsabile del trattamento, quest'ultimo ne dà notifica al titolare del trattamento senza ingiustificato ritardo dopo esserne venuto a conoscenza. La notifica contiene almeno:</w:t>
      </w:r>
    </w:p>
    <w:p w:rsidR="00000000" w:rsidDel="00000000" w:rsidP="00000000" w:rsidRDefault="00000000" w:rsidRPr="00000000" w14:paraId="00000042">
      <w:pPr>
        <w:numPr>
          <w:ilvl w:val="0"/>
          <w:numId w:val="12"/>
        </w:numP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una descrizione della natura della violazione (compresi, ove possibile, le categorie e il numero approssimativo di interessati e di registrazioni dei dati in questione);</w:t>
      </w:r>
    </w:p>
    <w:p w:rsidR="00000000" w:rsidDel="00000000" w:rsidP="00000000" w:rsidRDefault="00000000" w:rsidRPr="00000000" w14:paraId="00000043">
      <w:pPr>
        <w:numPr>
          <w:ilvl w:val="0"/>
          <w:numId w:val="12"/>
        </w:numP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recapiti di un punto di contatto presso il quale possono essere ottenute maggiori informazioni sulla violazione dei dati personali;</w:t>
      </w:r>
    </w:p>
    <w:p w:rsidR="00000000" w:rsidDel="00000000" w:rsidP="00000000" w:rsidRDefault="00000000" w:rsidRPr="00000000" w14:paraId="00000044">
      <w:pPr>
        <w:numPr>
          <w:ilvl w:val="0"/>
          <w:numId w:val="12"/>
        </w:numP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le probabili conseguenze della violazione dei dati personali e le misure adottate o di cui si propone l'adozione per porre rimedio alla violazione, anche per attenuarne i possibili effetti negativi.</w:t>
      </w:r>
    </w:p>
    <w:p w:rsidR="00000000" w:rsidDel="00000000" w:rsidP="00000000" w:rsidRDefault="00000000" w:rsidRPr="00000000" w14:paraId="00000045">
      <w:pP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Qualora, e nella misura in cui, non sia possibile fornire tutte le informazioni contemporaneamente, la notifica iniziale contiene le informazioni disponibili in quel momento, e le altre informazioni sono fornite successivamente, non appena disponibili, senza ingiustificato ritardo.</w:t>
      </w:r>
    </w:p>
    <w:p w:rsidR="00000000" w:rsidDel="00000000" w:rsidP="00000000" w:rsidRDefault="00000000" w:rsidRPr="00000000" w14:paraId="00000046">
      <w:pP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Le parti stabiliscono nell'allegato III tutti gli altri elementi che il responsabile del trattamento è tenuto a fornire quando assiste il titolare del trattamento nell'adempimento degli obblighi che incombono al titolare del trattamento a norma degli articoli 33 e 34 del regolamento (UE) 2016/679.</w:t>
      </w:r>
    </w:p>
    <w:p w:rsidR="00000000" w:rsidDel="00000000" w:rsidP="00000000" w:rsidRDefault="00000000" w:rsidRPr="00000000" w14:paraId="00000047">
      <w:pP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SEZIONE III</w:t>
      </w:r>
    </w:p>
    <w:p w:rsidR="00000000" w:rsidDel="00000000" w:rsidP="00000000" w:rsidRDefault="00000000" w:rsidRPr="00000000" w14:paraId="00000048">
      <w:pP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b w:val="1"/>
          <w:bCs w:val="1"/>
          <w:sz w:val="24"/>
          <w:szCs w:val="24"/>
          <w:rtl w:val="0"/>
        </w:rPr>
        <w:t xml:space="preserve">DISPOSIZIONI FINALI</w:t>
      </w:r>
      <w:r w:rsidDel="00000000" w:rsidR="00000000" w:rsidRPr="00000000">
        <w:rPr>
          <w:rtl w:val="0"/>
        </w:rPr>
      </w:r>
    </w:p>
    <w:p w:rsidR="00000000" w:rsidDel="00000000" w:rsidP="00000000" w:rsidRDefault="00000000" w:rsidRPr="00000000" w14:paraId="00000049">
      <w:pP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b w:val="1"/>
          <w:bCs w:val="1"/>
          <w:sz w:val="24"/>
          <w:szCs w:val="24"/>
          <w:rtl w:val="0"/>
        </w:rPr>
        <w:t xml:space="preserve">Inosservanza delle clausole e risoluzione</w:t>
      </w:r>
      <w:r w:rsidDel="00000000" w:rsidR="00000000" w:rsidRPr="00000000">
        <w:rPr>
          <w:rtl w:val="0"/>
        </w:rPr>
      </w:r>
    </w:p>
    <w:p w:rsidR="00000000" w:rsidDel="00000000" w:rsidP="00000000" w:rsidRDefault="00000000" w:rsidRPr="00000000" w14:paraId="0000004A">
      <w:pPr>
        <w:numPr>
          <w:ilvl w:val="0"/>
          <w:numId w:val="3"/>
        </w:numP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Fatte salve le disposizioni del regolamento (UE) 2016/679 e/o del regolamento (UE) 2018/1725, qualora il responsabile del trattamento violi gli obblighi che gli incombono a norma delle presenti clausole, il titolare del trattamento può dare istruzione al responsabile del trattamento di sospendere il trattamento dei dati personali fino a quando quest'ultimo non rispetti le presenti clausole o non sia risolto il contratto. Il responsabile del trattamento informa prontamente il titolare del trattamento qualora, per qualunque motivo, non sia in grado di rispettare le presenti clausole. </w:t>
      </w:r>
    </w:p>
    <w:p w:rsidR="00000000" w:rsidDel="00000000" w:rsidP="00000000" w:rsidRDefault="00000000" w:rsidRPr="00000000" w14:paraId="0000004B">
      <w:pP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Il titolare del trattamento ha diritto di risolvere il contratto per quanto riguarda il trattamento dei dati personali conformemente alle presenti clausole qualora:</w:t>
      </w:r>
    </w:p>
    <w:p w:rsidR="00000000" w:rsidDel="00000000" w:rsidP="00000000" w:rsidRDefault="00000000" w:rsidRPr="00000000" w14:paraId="0000004C">
      <w:pP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1) il trattamento dei dati personali da parte del responsabile del trattamento sia stato sospeso dal titolare del trattamento in conformità della lettera a) e il rispetto delle presenti clausole non sia ripristinato entro un termine ragionevole e in ogni caso entro un mese dalla sospensione;</w:t>
      </w:r>
    </w:p>
    <w:p w:rsidR="00000000" w:rsidDel="00000000" w:rsidP="00000000" w:rsidRDefault="00000000" w:rsidRPr="00000000" w14:paraId="0000004D">
      <w:pP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2) il responsabile del trattamento violi in modo sostanziale o persistente le presenti clausole o gli obblighi che gli incombono a norma del regolamento (UE) 2016/679 e/o del regolamento (UE) 2018/1725;</w:t>
      </w:r>
    </w:p>
    <w:p w:rsidR="00000000" w:rsidDel="00000000" w:rsidP="00000000" w:rsidRDefault="00000000" w:rsidRPr="00000000" w14:paraId="0000004E">
      <w:pP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3) il responsabile del trattamento non rispetti una decisione vincolante di un organo giurisdizionale competente o della o delle autorità di controllo competenti per quanto riguarda i suoi obblighi in conformità delle presenti clausole o del regolamento (UE) 2016/679 e/o del regolamento (UE) 2018/1725.</w:t>
      </w:r>
    </w:p>
    <w:p w:rsidR="00000000" w:rsidDel="00000000" w:rsidP="00000000" w:rsidRDefault="00000000" w:rsidRPr="00000000" w14:paraId="0000004F">
      <w:pP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Il responsabile del trattamento ha diritto di risolvere il contratto per quanto riguarda il trattamento dei dati personali a norma delle presenti clausole qualora, dopo aver informato il titolare del trattamento che le sue istruzioni violano i requisiti giuridici applicabili in conformità della clausola 7.1, lettera b), il titolare del trattamento insista sul rispetto delle istruzioni.</w:t>
      </w:r>
    </w:p>
    <w:p w:rsidR="00000000" w:rsidDel="00000000" w:rsidP="00000000" w:rsidRDefault="00000000" w:rsidRPr="00000000" w14:paraId="00000050">
      <w:pP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Dopo la risoluzione del contratto il responsabile del trattamento, a scelta del titolare del trattamento, cancella tutti i dati personali trattati per conto del titolare del trattamento e certifica a quest'ultimo di averlo fatto, oppure restituisce al titolare del trattamento tutti i dati personali e cancella le copie esistenti, a meno che il diritto dell'Unione o dello Stato membro non richieda la conservazione dei dati personali. Finché i dati non sono cancellati o restituiti, il responsabile del trattamento continua ad assicurare il rispetto delle presenti clausole. </w:t>
      </w:r>
    </w:p>
    <w:p w:rsidR="00000000" w:rsidDel="00000000" w:rsidP="00000000" w:rsidRDefault="00000000" w:rsidRPr="00000000" w14:paraId="00000051">
      <w:pPr>
        <w:spacing w:after="60" w:before="60" w:line="360" w:lineRule="auto"/>
        <w:jc w:val="both"/>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52">
      <w:pPr>
        <w:spacing w:after="60" w:before="60" w:line="360" w:lineRule="auto"/>
        <w:jc w:val="both"/>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53">
      <w:pPr>
        <w:spacing w:after="60" w:before="60" w:line="360" w:lineRule="auto"/>
        <w:jc w:val="both"/>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54">
      <w:pPr>
        <w:spacing w:after="60" w:before="60" w:line="360" w:lineRule="auto"/>
        <w:jc w:val="both"/>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55">
      <w:pPr>
        <w:spacing w:after="60" w:before="60" w:line="360" w:lineRule="auto"/>
        <w:jc w:val="both"/>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56">
      <w:pPr>
        <w:spacing w:after="60" w:before="60" w:line="360" w:lineRule="auto"/>
        <w:jc w:val="both"/>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57">
      <w:pPr>
        <w:spacing w:after="60" w:before="60" w:line="360" w:lineRule="auto"/>
        <w:jc w:val="both"/>
        <w:rPr>
          <w:rFonts w:ascii="Georgia" w:cs="Georgia" w:eastAsia="Georgia" w:hAnsi="Georgia"/>
          <w:i w:val="1"/>
          <w:iCs w:val="1"/>
          <w:sz w:val="24"/>
          <w:szCs w:val="24"/>
        </w:rPr>
      </w:pPr>
      <w:r w:rsidDel="00000000" w:rsidR="00000000" w:rsidRPr="00000000">
        <w:rPr>
          <w:rtl w:val="0"/>
        </w:rPr>
      </w:r>
    </w:p>
    <w:p w:rsidR="00000000" w:rsidDel="00000000" w:rsidP="00000000" w:rsidRDefault="00000000" w:rsidRPr="00000000" w14:paraId="00000058">
      <w:pPr>
        <w:spacing w:after="60" w:before="60" w:line="360" w:lineRule="auto"/>
        <w:jc w:val="both"/>
        <w:rPr>
          <w:rFonts w:ascii="Georgia" w:cs="Georgia" w:eastAsia="Georgia" w:hAnsi="Georgia"/>
          <w:i w:val="1"/>
          <w:iCs w:val="1"/>
          <w:sz w:val="24"/>
          <w:szCs w:val="24"/>
        </w:rPr>
      </w:pPr>
      <w:r w:rsidDel="00000000" w:rsidR="00000000" w:rsidRPr="00000000">
        <w:rPr>
          <w:rtl w:val="0"/>
        </w:rPr>
      </w:r>
    </w:p>
    <w:p w:rsidR="00000000" w:rsidDel="00000000" w:rsidP="00000000" w:rsidRDefault="00000000" w:rsidRPr="00000000" w14:paraId="00000059">
      <w:pPr>
        <w:spacing w:after="60" w:before="60" w:line="360" w:lineRule="auto"/>
        <w:jc w:val="both"/>
        <w:rPr>
          <w:rFonts w:ascii="Georgia" w:cs="Georgia" w:eastAsia="Georgia" w:hAnsi="Georgia"/>
          <w:i w:val="1"/>
          <w:iCs w:val="1"/>
          <w:sz w:val="24"/>
          <w:szCs w:val="24"/>
        </w:rPr>
      </w:pPr>
      <w:r w:rsidDel="00000000" w:rsidR="00000000" w:rsidRPr="00000000">
        <w:rPr>
          <w:rtl w:val="0"/>
        </w:rPr>
      </w:r>
    </w:p>
    <w:p w:rsidR="00000000" w:rsidDel="00000000" w:rsidP="00000000" w:rsidRDefault="00000000" w:rsidRPr="00000000" w14:paraId="0000005A">
      <w:pPr>
        <w:spacing w:after="60" w:before="60" w:line="360" w:lineRule="auto"/>
        <w:jc w:val="both"/>
        <w:rPr>
          <w:rFonts w:ascii="Georgia" w:cs="Georgia" w:eastAsia="Georgia" w:hAnsi="Georgia"/>
          <w:i w:val="1"/>
          <w:iCs w:val="1"/>
          <w:sz w:val="24"/>
          <w:szCs w:val="24"/>
        </w:rPr>
      </w:pPr>
      <w:r w:rsidDel="00000000" w:rsidR="00000000" w:rsidRPr="00000000">
        <w:rPr>
          <w:rtl w:val="0"/>
        </w:rPr>
      </w:r>
    </w:p>
    <w:p w:rsidR="00000000" w:rsidDel="00000000" w:rsidP="00000000" w:rsidRDefault="00000000" w:rsidRPr="00000000" w14:paraId="0000005B">
      <w:pPr>
        <w:spacing w:after="60" w:before="60" w:line="360" w:lineRule="auto"/>
        <w:jc w:val="both"/>
        <w:rPr>
          <w:rFonts w:ascii="Georgia" w:cs="Georgia" w:eastAsia="Georgia" w:hAnsi="Georgia"/>
          <w:i w:val="1"/>
          <w:iCs w:val="1"/>
          <w:sz w:val="24"/>
          <w:szCs w:val="24"/>
        </w:rPr>
      </w:pPr>
      <w:r w:rsidDel="00000000" w:rsidR="00000000" w:rsidRPr="00000000">
        <w:rPr>
          <w:rtl w:val="0"/>
        </w:rPr>
      </w:r>
    </w:p>
    <w:p w:rsidR="00000000" w:rsidDel="00000000" w:rsidP="00000000" w:rsidRDefault="00000000" w:rsidRPr="00000000" w14:paraId="0000005C">
      <w:pPr>
        <w:spacing w:after="60" w:before="60" w:line="360" w:lineRule="auto"/>
        <w:jc w:val="both"/>
        <w:rPr>
          <w:rFonts w:ascii="Georgia" w:cs="Georgia" w:eastAsia="Georgia" w:hAnsi="Georgia"/>
          <w:i w:val="1"/>
          <w:iCs w:val="1"/>
          <w:sz w:val="24"/>
          <w:szCs w:val="24"/>
        </w:rPr>
      </w:pPr>
      <w:r w:rsidDel="00000000" w:rsidR="00000000" w:rsidRPr="00000000">
        <w:rPr>
          <w:rtl w:val="0"/>
        </w:rPr>
      </w:r>
    </w:p>
    <w:p w:rsidR="00000000" w:rsidDel="00000000" w:rsidP="00000000" w:rsidRDefault="00000000" w:rsidRPr="00000000" w14:paraId="0000005D">
      <w:pPr>
        <w:spacing w:after="60" w:before="60" w:line="360" w:lineRule="auto"/>
        <w:jc w:val="both"/>
        <w:rPr>
          <w:rFonts w:ascii="Georgia" w:cs="Georgia" w:eastAsia="Georgia" w:hAnsi="Georgia"/>
          <w:i w:val="1"/>
          <w:iCs w:val="1"/>
          <w:sz w:val="24"/>
          <w:szCs w:val="24"/>
        </w:rPr>
      </w:pPr>
      <w:r w:rsidDel="00000000" w:rsidR="00000000" w:rsidRPr="00000000">
        <w:rPr>
          <w:rtl w:val="0"/>
        </w:rPr>
      </w:r>
    </w:p>
    <w:p w:rsidR="00000000" w:rsidDel="00000000" w:rsidP="00000000" w:rsidRDefault="00000000" w:rsidRPr="00000000" w14:paraId="0000005E">
      <w:pPr>
        <w:spacing w:after="60" w:before="60" w:line="360" w:lineRule="auto"/>
        <w:jc w:val="both"/>
        <w:rPr>
          <w:rFonts w:ascii="Georgia" w:cs="Georgia" w:eastAsia="Georgia" w:hAnsi="Georgia"/>
          <w:i w:val="1"/>
          <w:iCs w:val="1"/>
          <w:sz w:val="24"/>
          <w:szCs w:val="24"/>
        </w:rPr>
      </w:pPr>
      <w:r w:rsidDel="00000000" w:rsidR="00000000" w:rsidRPr="00000000">
        <w:rPr>
          <w:rtl w:val="0"/>
        </w:rPr>
      </w:r>
    </w:p>
    <w:p w:rsidR="00000000" w:rsidDel="00000000" w:rsidP="00000000" w:rsidRDefault="00000000" w:rsidRPr="00000000" w14:paraId="0000005F">
      <w:pPr>
        <w:spacing w:after="60" w:before="60" w:line="360" w:lineRule="auto"/>
        <w:jc w:val="both"/>
        <w:rPr>
          <w:rFonts w:ascii="Georgia" w:cs="Georgia" w:eastAsia="Georgia" w:hAnsi="Georgia"/>
          <w:i w:val="1"/>
          <w:iCs w:val="1"/>
          <w:sz w:val="24"/>
          <w:szCs w:val="24"/>
        </w:rPr>
      </w:pPr>
      <w:r w:rsidDel="00000000" w:rsidR="00000000" w:rsidRPr="00000000">
        <w:rPr>
          <w:rtl w:val="0"/>
        </w:rPr>
      </w:r>
    </w:p>
    <w:p w:rsidR="00000000" w:rsidDel="00000000" w:rsidP="00000000" w:rsidRDefault="00000000" w:rsidRPr="00000000" w14:paraId="00000060">
      <w:pPr>
        <w:spacing w:after="60" w:before="60" w:line="360" w:lineRule="auto"/>
        <w:jc w:val="both"/>
        <w:rPr>
          <w:rFonts w:ascii="Georgia" w:cs="Georgia" w:eastAsia="Georgia" w:hAnsi="Georgia"/>
          <w:i w:val="1"/>
          <w:iCs w:val="1"/>
          <w:sz w:val="24"/>
          <w:szCs w:val="24"/>
        </w:rPr>
      </w:pPr>
      <w:r w:rsidDel="00000000" w:rsidR="00000000" w:rsidRPr="00000000">
        <w:rPr>
          <w:rtl w:val="0"/>
        </w:rPr>
      </w:r>
    </w:p>
    <w:p w:rsidR="00000000" w:rsidDel="00000000" w:rsidP="00000000" w:rsidRDefault="00000000" w:rsidRPr="00000000" w14:paraId="00000061">
      <w:pPr>
        <w:spacing w:after="60" w:before="60" w:line="360" w:lineRule="auto"/>
        <w:jc w:val="both"/>
        <w:rPr>
          <w:rFonts w:ascii="Georgia" w:cs="Georgia" w:eastAsia="Georgia" w:hAnsi="Georgia"/>
          <w:i w:val="1"/>
          <w:iCs w:val="1"/>
          <w:sz w:val="24"/>
          <w:szCs w:val="24"/>
        </w:rPr>
      </w:pPr>
      <w:r w:rsidDel="00000000" w:rsidR="00000000" w:rsidRPr="00000000">
        <w:rPr>
          <w:rtl w:val="0"/>
        </w:rPr>
      </w:r>
    </w:p>
    <w:p w:rsidR="00000000" w:rsidDel="00000000" w:rsidP="00000000" w:rsidRDefault="00000000" w:rsidRPr="00000000" w14:paraId="00000062">
      <w:pPr>
        <w:spacing w:after="60" w:before="60" w:line="360" w:lineRule="auto"/>
        <w:jc w:val="both"/>
        <w:rPr>
          <w:rFonts w:ascii="Georgia" w:cs="Georgia" w:eastAsia="Georgia" w:hAnsi="Georgia"/>
          <w:i w:val="1"/>
          <w:iCs w:val="1"/>
          <w:sz w:val="24"/>
          <w:szCs w:val="24"/>
        </w:rPr>
      </w:pPr>
      <w:r w:rsidDel="00000000" w:rsidR="00000000" w:rsidRPr="00000000">
        <w:rPr>
          <w:rtl w:val="0"/>
        </w:rPr>
      </w:r>
    </w:p>
    <w:p w:rsidR="00000000" w:rsidDel="00000000" w:rsidP="00000000" w:rsidRDefault="00000000" w:rsidRPr="00000000" w14:paraId="00000063">
      <w:pPr>
        <w:spacing w:after="60" w:before="60" w:line="360" w:lineRule="auto"/>
        <w:jc w:val="both"/>
        <w:rPr>
          <w:rFonts w:ascii="Georgia" w:cs="Georgia" w:eastAsia="Georgia" w:hAnsi="Georgia"/>
          <w:i w:val="1"/>
          <w:iCs w:val="1"/>
          <w:sz w:val="24"/>
          <w:szCs w:val="24"/>
        </w:rPr>
      </w:pPr>
      <w:r w:rsidDel="00000000" w:rsidR="00000000" w:rsidRPr="00000000">
        <w:rPr>
          <w:rtl w:val="0"/>
        </w:rPr>
      </w:r>
    </w:p>
    <w:p w:rsidR="00000000" w:rsidDel="00000000" w:rsidP="00000000" w:rsidRDefault="00000000" w:rsidRPr="00000000" w14:paraId="00000064">
      <w:pPr>
        <w:spacing w:after="60" w:before="60" w:line="360" w:lineRule="auto"/>
        <w:jc w:val="both"/>
        <w:rPr>
          <w:rFonts w:ascii="Georgia" w:cs="Georgia" w:eastAsia="Georgia" w:hAnsi="Georgia"/>
          <w:i w:val="1"/>
          <w:iCs w:val="1"/>
          <w:sz w:val="24"/>
          <w:szCs w:val="24"/>
        </w:rPr>
      </w:pPr>
      <w:r w:rsidDel="00000000" w:rsidR="00000000" w:rsidRPr="00000000">
        <w:rPr>
          <w:rtl w:val="0"/>
        </w:rPr>
      </w:r>
    </w:p>
    <w:p w:rsidR="00000000" w:rsidDel="00000000" w:rsidP="00000000" w:rsidRDefault="00000000" w:rsidRPr="00000000" w14:paraId="00000065">
      <w:pPr>
        <w:spacing w:after="60" w:before="60" w:line="360" w:lineRule="auto"/>
        <w:jc w:val="both"/>
        <w:rPr>
          <w:rFonts w:ascii="Georgia" w:cs="Georgia" w:eastAsia="Georgia" w:hAnsi="Georgia"/>
          <w:i w:val="1"/>
          <w:iCs w:val="1"/>
          <w:sz w:val="24"/>
          <w:szCs w:val="24"/>
        </w:rPr>
      </w:pPr>
      <w:r w:rsidDel="00000000" w:rsidR="00000000" w:rsidRPr="00000000">
        <w:rPr>
          <w:rtl w:val="0"/>
        </w:rPr>
      </w:r>
    </w:p>
    <w:p w:rsidR="00000000" w:rsidDel="00000000" w:rsidP="00000000" w:rsidRDefault="00000000" w:rsidRPr="00000000" w14:paraId="00000066">
      <w:pP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i w:val="1"/>
          <w:iCs w:val="1"/>
          <w:sz w:val="24"/>
          <w:szCs w:val="24"/>
          <w:rtl w:val="0"/>
        </w:rPr>
        <w:t xml:space="preserve">ALLEGATO I </w:t>
      </w:r>
      <w:r w:rsidDel="00000000" w:rsidR="00000000" w:rsidRPr="00000000">
        <w:rPr>
          <w:rtl w:val="0"/>
        </w:rPr>
      </w:r>
    </w:p>
    <w:p w:rsidR="00000000" w:rsidDel="00000000" w:rsidP="00000000" w:rsidRDefault="00000000" w:rsidRPr="00000000" w14:paraId="00000067">
      <w:pP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b w:val="1"/>
          <w:bCs w:val="1"/>
          <w:sz w:val="24"/>
          <w:szCs w:val="24"/>
          <w:rtl w:val="0"/>
        </w:rPr>
        <w:t xml:space="preserve">Elenco delle parti </w:t>
      </w:r>
      <w:r w:rsidDel="00000000" w:rsidR="00000000" w:rsidRPr="00000000">
        <w:rPr>
          <w:rtl w:val="0"/>
        </w:rPr>
      </w:r>
    </w:p>
    <w:p w:rsidR="00000000" w:rsidDel="00000000" w:rsidP="00000000" w:rsidRDefault="00000000" w:rsidRPr="00000000" w14:paraId="00000068">
      <w:pP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b w:val="1"/>
          <w:bCs w:val="1"/>
          <w:sz w:val="24"/>
          <w:szCs w:val="24"/>
          <w:rtl w:val="0"/>
        </w:rPr>
        <w:t xml:space="preserve">Titolare/i del trattamento: </w:t>
      </w:r>
      <w:r w:rsidDel="00000000" w:rsidR="00000000" w:rsidRPr="00000000">
        <w:rPr>
          <w:rFonts w:ascii="Georgia" w:cs="Georgia" w:eastAsia="Georgia" w:hAnsi="Georgia"/>
          <w:sz w:val="24"/>
          <w:szCs w:val="24"/>
          <w:rtl w:val="0"/>
        </w:rPr>
        <w:t xml:space="preserve">[</w:t>
      </w:r>
      <w:r w:rsidDel="00000000" w:rsidR="00000000" w:rsidRPr="00000000">
        <w:rPr>
          <w:rFonts w:ascii="Georgia" w:cs="Georgia" w:eastAsia="Georgia" w:hAnsi="Georgia"/>
          <w:i w:val="1"/>
          <w:iCs w:val="1"/>
          <w:sz w:val="24"/>
          <w:szCs w:val="24"/>
          <w:rtl w:val="0"/>
        </w:rPr>
        <w:t xml:space="preserve">Identità e dati di contatto del/dei titolari del trattamento e, ove applicabile, del suo/loro responsabile della protezione dei dati. In questo caso il titolare è la CER] </w:t>
      </w:r>
      <w:r w:rsidDel="00000000" w:rsidR="00000000" w:rsidRPr="00000000">
        <w:rPr>
          <w:rtl w:val="0"/>
        </w:rPr>
      </w:r>
    </w:p>
    <w:p w:rsidR="00000000" w:rsidDel="00000000" w:rsidP="00000000" w:rsidRDefault="00000000" w:rsidRPr="00000000" w14:paraId="00000069">
      <w:pP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Nome: CER Bedizzole - Presidente Giovanni Cottini.</w:t>
      </w:r>
    </w:p>
    <w:p w:rsidR="00000000" w:rsidDel="00000000" w:rsidP="00000000" w:rsidRDefault="00000000" w:rsidRPr="00000000" w14:paraId="0000006A">
      <w:pP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Indirizzo: Piazza Vittorio Emanuele II n. 1, Bedizzole (BS)</w:t>
      </w:r>
    </w:p>
    <w:p w:rsidR="00000000" w:rsidDel="00000000" w:rsidP="00000000" w:rsidRDefault="00000000" w:rsidRPr="00000000" w14:paraId="0000006B">
      <w:pP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Nome, qualifica e dati di contatto del referente </w:t>
      </w:r>
      <w:r w:rsidDel="00000000" w:rsidR="00000000" w:rsidRPr="00000000">
        <w:rPr>
          <w:rFonts w:ascii="Georgia" w:cs="Georgia" w:eastAsia="Georgia" w:hAnsi="Georgia"/>
          <w:i w:val="1"/>
          <w:iCs w:val="1"/>
          <w:sz w:val="24"/>
          <w:szCs w:val="24"/>
          <w:rtl w:val="0"/>
        </w:rPr>
        <w:t xml:space="preserve">[all’interno della CER]</w:t>
      </w:r>
      <w:r w:rsidDel="00000000" w:rsidR="00000000" w:rsidRPr="00000000">
        <w:rPr>
          <w:rFonts w:ascii="Georgia" w:cs="Georgia" w:eastAsia="Georgia" w:hAnsi="Georgia"/>
          <w:sz w:val="24"/>
          <w:szCs w:val="24"/>
          <w:rtl w:val="0"/>
        </w:rPr>
        <w:t xml:space="preserve">: </w:t>
      </w:r>
    </w:p>
    <w:p w:rsidR="00000000" w:rsidDel="00000000" w:rsidP="00000000" w:rsidRDefault="00000000" w:rsidRPr="00000000" w14:paraId="0000006C">
      <w:pP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Michele Crescini - Segretario del COnsiglio Direttivo</w:t>
      </w:r>
    </w:p>
    <w:p w:rsidR="00000000" w:rsidDel="00000000" w:rsidP="00000000" w:rsidRDefault="00000000" w:rsidRPr="00000000" w14:paraId="0000006D">
      <w:pP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mail: </w:t>
      </w:r>
      <w:hyperlink r:id="rId6">
        <w:r w:rsidDel="00000000" w:rsidR="00000000" w:rsidRPr="00000000">
          <w:rPr>
            <w:rFonts w:ascii="Georgia" w:cs="Georgia" w:eastAsia="Georgia" w:hAnsi="Georgia"/>
            <w:color w:val="1155cc"/>
            <w:sz w:val="24"/>
            <w:szCs w:val="24"/>
            <w:u w:val="single"/>
            <w:rtl w:val="0"/>
          </w:rPr>
          <w:t xml:space="preserve">infocer@comune.bedizzole.bs.it</w:t>
        </w:r>
      </w:hyperlink>
      <w:r w:rsidDel="00000000" w:rsidR="00000000" w:rsidRPr="00000000">
        <w:rPr>
          <w:rFonts w:ascii="Georgia" w:cs="Georgia" w:eastAsia="Georgia" w:hAnsi="Georgia"/>
          <w:sz w:val="24"/>
          <w:szCs w:val="24"/>
          <w:rtl w:val="0"/>
        </w:rPr>
        <w:t xml:space="preserve"> cell: 3339438178</w:t>
      </w:r>
    </w:p>
    <w:p w:rsidR="00000000" w:rsidDel="00000000" w:rsidP="00000000" w:rsidRDefault="00000000" w:rsidRPr="00000000" w14:paraId="0000006E">
      <w:pPr>
        <w:spacing w:after="60" w:before="60" w:line="360" w:lineRule="auto"/>
        <w:jc w:val="both"/>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6F">
      <w:pP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Firma e data di adesione: </w:t>
      </w:r>
    </w:p>
    <w:p w:rsidR="00000000" w:rsidDel="00000000" w:rsidP="00000000" w:rsidRDefault="00000000" w:rsidRPr="00000000" w14:paraId="00000070">
      <w:pP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Bedizzole, 17 giugno 2026</w:t>
      </w:r>
    </w:p>
    <w:p w:rsidR="00000000" w:rsidDel="00000000" w:rsidP="00000000" w:rsidRDefault="00000000" w:rsidRPr="00000000" w14:paraId="00000071">
      <w:pPr>
        <w:spacing w:after="60" w:before="60" w:line="360" w:lineRule="auto"/>
        <w:jc w:val="both"/>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72">
      <w:pPr>
        <w:spacing w:after="60" w:before="60" w:line="360" w:lineRule="auto"/>
        <w:jc w:val="both"/>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73">
      <w:pPr>
        <w:spacing w:after="60" w:before="60" w:line="360" w:lineRule="auto"/>
        <w:jc w:val="both"/>
        <w:rPr>
          <w:rFonts w:ascii="Georgia" w:cs="Georgia" w:eastAsia="Georgia" w:hAnsi="Georgia"/>
          <w:b w:val="1"/>
          <w:bCs w:val="1"/>
          <w:sz w:val="24"/>
          <w:szCs w:val="24"/>
        </w:rPr>
      </w:pPr>
      <w:r w:rsidDel="00000000" w:rsidR="00000000" w:rsidRPr="00000000">
        <w:rPr>
          <w:rFonts w:ascii="Georgia" w:cs="Georgia" w:eastAsia="Georgia" w:hAnsi="Georgia"/>
          <w:b w:val="1"/>
          <w:bCs w:val="1"/>
          <w:sz w:val="24"/>
          <w:szCs w:val="24"/>
          <w:rtl w:val="0"/>
        </w:rPr>
        <w:t xml:space="preserve">Responsabile/i del trattamento </w:t>
      </w:r>
    </w:p>
    <w:p w:rsidR="00000000" w:rsidDel="00000000" w:rsidP="00000000" w:rsidRDefault="00000000" w:rsidRPr="00000000" w14:paraId="00000074">
      <w:pP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Nome: GARDA UNO SPA</w:t>
      </w:r>
    </w:p>
    <w:p w:rsidR="00000000" w:rsidDel="00000000" w:rsidP="00000000" w:rsidRDefault="00000000" w:rsidRPr="00000000" w14:paraId="00000075">
      <w:pP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Indirizzo: via Italo Barbieri. 20 – 25080 – Padenghe sul Garda (BS)</w:t>
      </w:r>
    </w:p>
    <w:p w:rsidR="00000000" w:rsidDel="00000000" w:rsidP="00000000" w:rsidRDefault="00000000" w:rsidRPr="00000000" w14:paraId="00000076">
      <w:pP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Nome, qualifica e dati di contatto del referente: Direttore Amministrativo dott. Pietro Lazzarini</w:t>
      </w:r>
    </w:p>
    <w:p w:rsidR="00000000" w:rsidDel="00000000" w:rsidP="00000000" w:rsidRDefault="00000000" w:rsidRPr="00000000" w14:paraId="00000077">
      <w:pPr>
        <w:spacing w:after="60" w:before="60" w:line="360" w:lineRule="auto"/>
        <w:jc w:val="both"/>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78">
      <w:pP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Firma e data di adesione: </w:t>
      </w:r>
    </w:p>
    <w:p w:rsidR="00000000" w:rsidDel="00000000" w:rsidP="00000000" w:rsidRDefault="00000000" w:rsidRPr="00000000" w14:paraId="00000079">
      <w:pP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t>
      </w:r>
    </w:p>
    <w:p w:rsidR="00000000" w:rsidDel="00000000" w:rsidP="00000000" w:rsidRDefault="00000000" w:rsidRPr="00000000" w14:paraId="0000007A">
      <w:pPr>
        <w:spacing w:after="60" w:before="60" w:line="360" w:lineRule="auto"/>
        <w:jc w:val="both"/>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7B">
      <w:pPr>
        <w:spacing w:after="60" w:before="60" w:line="360" w:lineRule="auto"/>
        <w:jc w:val="both"/>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7C">
      <w:pPr>
        <w:spacing w:after="60" w:before="60" w:line="360" w:lineRule="auto"/>
        <w:jc w:val="both"/>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7D">
      <w:pPr>
        <w:spacing w:after="60" w:before="60" w:line="360" w:lineRule="auto"/>
        <w:jc w:val="both"/>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7E">
      <w:pPr>
        <w:spacing w:after="60" w:before="60" w:line="360" w:lineRule="auto"/>
        <w:jc w:val="both"/>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7F">
      <w:pPr>
        <w:spacing w:after="60" w:before="60" w:line="360" w:lineRule="auto"/>
        <w:jc w:val="both"/>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80">
      <w:pPr>
        <w:spacing w:after="60" w:before="60" w:line="360" w:lineRule="auto"/>
        <w:jc w:val="both"/>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81">
      <w:pP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i w:val="1"/>
          <w:iCs w:val="1"/>
          <w:sz w:val="24"/>
          <w:szCs w:val="24"/>
          <w:rtl w:val="0"/>
        </w:rPr>
        <w:t xml:space="preserve">ALLEGATO II </w:t>
      </w:r>
      <w:r w:rsidDel="00000000" w:rsidR="00000000" w:rsidRPr="00000000">
        <w:rPr>
          <w:rtl w:val="0"/>
        </w:rPr>
      </w:r>
    </w:p>
    <w:p w:rsidR="00000000" w:rsidDel="00000000" w:rsidP="00000000" w:rsidRDefault="00000000" w:rsidRPr="00000000" w14:paraId="00000082">
      <w:pP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b w:val="1"/>
          <w:bCs w:val="1"/>
          <w:sz w:val="24"/>
          <w:szCs w:val="24"/>
          <w:rtl w:val="0"/>
        </w:rPr>
        <w:t xml:space="preserve">Descrizione del trattamento </w:t>
      </w:r>
      <w:r w:rsidDel="00000000" w:rsidR="00000000" w:rsidRPr="00000000">
        <w:rPr>
          <w:rtl w:val="0"/>
        </w:rPr>
      </w:r>
    </w:p>
    <w:p w:rsidR="00000000" w:rsidDel="00000000" w:rsidP="00000000" w:rsidRDefault="00000000" w:rsidRPr="00000000" w14:paraId="00000083">
      <w:pP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i w:val="1"/>
          <w:iCs w:val="1"/>
          <w:sz w:val="24"/>
          <w:szCs w:val="24"/>
          <w:rtl w:val="0"/>
        </w:rPr>
        <w:t xml:space="preserve">Categorie di interessati i cui dati personali sono trattati</w:t>
      </w:r>
      <w:r w:rsidDel="00000000" w:rsidR="00000000" w:rsidRPr="00000000">
        <w:rPr>
          <w:rtl w:val="0"/>
        </w:rPr>
      </w:r>
    </w:p>
    <w:p w:rsidR="00000000" w:rsidDel="00000000" w:rsidP="00000000" w:rsidRDefault="00000000" w:rsidRPr="00000000" w14:paraId="00000084">
      <w:pP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Gli interessano sono le persone fisiche che richiedono di aderire alla CER.</w:t>
      </w:r>
    </w:p>
    <w:p w:rsidR="00000000" w:rsidDel="00000000" w:rsidP="00000000" w:rsidRDefault="00000000" w:rsidRPr="00000000" w14:paraId="00000085">
      <w:pPr>
        <w:spacing w:after="60" w:before="60" w:line="360" w:lineRule="auto"/>
        <w:jc w:val="both"/>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86">
      <w:pP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i w:val="1"/>
          <w:iCs w:val="1"/>
          <w:sz w:val="24"/>
          <w:szCs w:val="24"/>
          <w:rtl w:val="0"/>
        </w:rPr>
        <w:t xml:space="preserve">Categorie di dati personali trattati</w:t>
      </w:r>
      <w:r w:rsidDel="00000000" w:rsidR="00000000" w:rsidRPr="00000000">
        <w:rPr>
          <w:rtl w:val="0"/>
        </w:rPr>
      </w:r>
    </w:p>
    <w:p w:rsidR="00000000" w:rsidDel="00000000" w:rsidP="00000000" w:rsidRDefault="00000000" w:rsidRPr="00000000" w14:paraId="00000087">
      <w:pP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Dati anagrafici, dati di contatto, n. POD.</w:t>
      </w:r>
    </w:p>
    <w:p w:rsidR="00000000" w:rsidDel="00000000" w:rsidP="00000000" w:rsidRDefault="00000000" w:rsidRPr="00000000" w14:paraId="00000088">
      <w:pPr>
        <w:spacing w:after="60" w:before="60" w:line="360" w:lineRule="auto"/>
        <w:jc w:val="both"/>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89">
      <w:pP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i w:val="1"/>
          <w:iCs w:val="1"/>
          <w:sz w:val="24"/>
          <w:szCs w:val="24"/>
          <w:rtl w:val="0"/>
        </w:rPr>
        <w:t xml:space="preserve">Dati sensibili trattati (se del caso) e limitazioni o garanzie applicate che tengono pienamente conto della natura dei dati e dei rischi connessi, ad esempio una rigorosa limitazione delle finalità, limitazioni all'accesso (tra cui accesso solo per il personale che ha seguito una formazione specializzata), tenuta di un registro degli accessi ai dati, limitazioni ai trasferimenti successivi o misure di sicurezza supplementari.</w:t>
      </w:r>
      <w:r w:rsidDel="00000000" w:rsidR="00000000" w:rsidRPr="00000000">
        <w:rPr>
          <w:rtl w:val="0"/>
        </w:rPr>
      </w:r>
    </w:p>
    <w:p w:rsidR="00000000" w:rsidDel="00000000" w:rsidP="00000000" w:rsidRDefault="00000000" w:rsidRPr="00000000" w14:paraId="0000008A">
      <w:pP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Nessuno.</w:t>
      </w:r>
    </w:p>
    <w:p w:rsidR="00000000" w:rsidDel="00000000" w:rsidP="00000000" w:rsidRDefault="00000000" w:rsidRPr="00000000" w14:paraId="0000008B">
      <w:pPr>
        <w:spacing w:after="60" w:before="60" w:line="360" w:lineRule="auto"/>
        <w:jc w:val="both"/>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8C">
      <w:pP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i w:val="1"/>
          <w:iCs w:val="1"/>
          <w:sz w:val="24"/>
          <w:szCs w:val="24"/>
          <w:rtl w:val="0"/>
        </w:rPr>
        <w:t xml:space="preserve">Natura del trattamento</w:t>
      </w:r>
      <w:r w:rsidDel="00000000" w:rsidR="00000000" w:rsidRPr="00000000">
        <w:rPr>
          <w:rtl w:val="0"/>
        </w:rPr>
      </w:r>
    </w:p>
    <w:p w:rsidR="00000000" w:rsidDel="00000000" w:rsidP="00000000" w:rsidRDefault="00000000" w:rsidRPr="00000000" w14:paraId="0000008D">
      <w:pP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Raccolta, registrazione, organizzazione, conservazione, elaborazione e comunicazione di dati anagrafici e del numero di POD dei membri della Comunità Energetica Rinnovabile, tramite sistemi informatici, ai fini della gestione amministrativa, tecnica e del rapporto con il GSE.</w:t>
      </w:r>
    </w:p>
    <w:p w:rsidR="00000000" w:rsidDel="00000000" w:rsidP="00000000" w:rsidRDefault="00000000" w:rsidRPr="00000000" w14:paraId="0000008E">
      <w:pP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Compresa, a titolo di esempio, la gestione delle richieste di adesione alle CER, il supporto ai Consigli Direttivi delle CER nella valutazione e approvazione, la gestione della richiesta di attivazione del servizio di autoconsumo diffuso per le configurazioni aperte dalle CER sul portale del GSE e per simulazioni sul bilanciamento energetico-economico delle CER.  </w:t>
      </w:r>
    </w:p>
    <w:p w:rsidR="00000000" w:rsidDel="00000000" w:rsidP="00000000" w:rsidRDefault="00000000" w:rsidRPr="00000000" w14:paraId="0000008F">
      <w:pPr>
        <w:spacing w:after="60" w:before="60" w:line="360" w:lineRule="auto"/>
        <w:jc w:val="both"/>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90">
      <w:pPr>
        <w:spacing w:after="60" w:before="60" w:line="360" w:lineRule="auto"/>
        <w:jc w:val="both"/>
        <w:rPr>
          <w:rFonts w:ascii="Georgia" w:cs="Georgia" w:eastAsia="Georgia" w:hAnsi="Georgia"/>
          <w:i w:val="1"/>
          <w:iCs w:val="1"/>
          <w:sz w:val="24"/>
          <w:szCs w:val="24"/>
        </w:rPr>
      </w:pPr>
      <w:r w:rsidDel="00000000" w:rsidR="00000000" w:rsidRPr="00000000">
        <w:rPr>
          <w:rFonts w:ascii="Georgia" w:cs="Georgia" w:eastAsia="Georgia" w:hAnsi="Georgia"/>
          <w:i w:val="1"/>
          <w:iCs w:val="1"/>
          <w:sz w:val="24"/>
          <w:szCs w:val="24"/>
          <w:rtl w:val="0"/>
        </w:rPr>
        <w:t xml:space="preserve">Finalità per le quali i dati personali sono trattati per conto del titolare del trattamento</w:t>
      </w:r>
    </w:p>
    <w:p w:rsidR="00000000" w:rsidDel="00000000" w:rsidP="00000000" w:rsidRDefault="00000000" w:rsidRPr="00000000" w14:paraId="00000091">
      <w:pPr>
        <w:spacing w:after="60" w:before="60" w:line="360" w:lineRule="auto"/>
        <w:jc w:val="both"/>
        <w:rPr>
          <w:rFonts w:ascii="Georgia" w:cs="Georgia" w:eastAsia="Georgia" w:hAnsi="Georgia"/>
          <w:i w:val="1"/>
          <w:iCs w:val="1"/>
          <w:sz w:val="24"/>
          <w:szCs w:val="24"/>
        </w:rPr>
      </w:pPr>
      <w:r w:rsidDel="00000000" w:rsidR="00000000" w:rsidRPr="00000000">
        <w:rPr>
          <w:rtl w:val="0"/>
        </w:rPr>
      </w:r>
    </w:p>
    <w:p w:rsidR="00000000" w:rsidDel="00000000" w:rsidP="00000000" w:rsidRDefault="00000000" w:rsidRPr="00000000" w14:paraId="00000092">
      <w:pPr>
        <w:widowControl w:val="0"/>
        <w:pBdr>
          <w:top w:color="000000" w:space="0" w:sz="0" w:val="none"/>
          <w:left w:color="000000" w:space="0" w:sz="0" w:val="none"/>
          <w:bottom w:color="000000" w:space="0" w:sz="0" w:val="none"/>
          <w:right w:color="000000" w:space="0" w:sz="0" w:val="none"/>
          <w:between w:color="000000" w:space="0" w:sz="0" w:val="none"/>
        </w:pBdr>
        <w:spacing w:after="60" w:before="60" w:line="360" w:lineRule="auto"/>
        <w:ind w:left="20" w:firstLine="0"/>
        <w:jc w:val="both"/>
        <w:rPr>
          <w:rFonts w:ascii="Georgia" w:cs="Georgia" w:eastAsia="Georgia" w:hAnsi="Georgia"/>
          <w:sz w:val="24"/>
          <w:szCs w:val="24"/>
        </w:rPr>
      </w:pPr>
      <w:r w:rsidDel="00000000" w:rsidR="00000000" w:rsidRPr="00000000">
        <w:rPr>
          <w:rtl w:val="0"/>
        </w:rPr>
      </w:r>
    </w:p>
    <w:tbl>
      <w:tblPr>
        <w:tblStyle w:val="Table1"/>
        <w:tblW w:w="8468.0" w:type="dxa"/>
        <w:jc w:val="left"/>
        <w:tblInd w:w="2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236"/>
        <w:gridCol w:w="4232"/>
        <w:tblGridChange w:id="0">
          <w:tblGrid>
            <w:gridCol w:w="4236"/>
            <w:gridCol w:w="4232"/>
          </w:tblGrid>
        </w:tblGridChange>
      </w:tblGrid>
      <w:tr>
        <w:trPr>
          <w:cantSplit w:val="0"/>
          <w:tblHeader w:val="0"/>
        </w:trPr>
        <w:tc>
          <w:tcPr/>
          <w:p w:rsidR="00000000" w:rsidDel="00000000" w:rsidP="00000000" w:rsidRDefault="00000000" w:rsidRPr="00000000" w14:paraId="00000093">
            <w:pPr>
              <w:widowControl w:val="0"/>
              <w:pBdr>
                <w:top w:color="000000" w:space="0" w:sz="0" w:val="none"/>
                <w:left w:color="000000" w:space="0" w:sz="0" w:val="none"/>
                <w:bottom w:color="000000" w:space="0" w:sz="0" w:val="none"/>
                <w:right w:color="000000" w:space="0" w:sz="0" w:val="none"/>
                <w:between w:color="000000" w:space="0" w:sz="0" w:val="none"/>
              </w:pBdr>
              <w:spacing w:after="60" w:before="60" w:line="360" w:lineRule="auto"/>
              <w:jc w:val="both"/>
              <w:rPr>
                <w:rFonts w:ascii="Georgia" w:cs="Georgia" w:eastAsia="Georgia" w:hAnsi="Georgia"/>
                <w:b w:val="1"/>
                <w:bCs w:val="1"/>
                <w:sz w:val="24"/>
                <w:szCs w:val="24"/>
              </w:rPr>
            </w:pPr>
            <w:r w:rsidDel="00000000" w:rsidR="00000000" w:rsidRPr="00000000">
              <w:rPr>
                <w:rFonts w:ascii="Georgia" w:cs="Georgia" w:eastAsia="Georgia" w:hAnsi="Georgia"/>
                <w:b w:val="1"/>
                <w:bCs w:val="1"/>
                <w:sz w:val="24"/>
                <w:szCs w:val="24"/>
                <w:rtl w:val="0"/>
              </w:rPr>
              <w:t xml:space="preserve">FINALITA’</w:t>
            </w:r>
          </w:p>
        </w:tc>
        <w:tc>
          <w:tcPr/>
          <w:p w:rsidR="00000000" w:rsidDel="00000000" w:rsidP="00000000" w:rsidRDefault="00000000" w:rsidRPr="00000000" w14:paraId="00000094">
            <w:pPr>
              <w:widowControl w:val="0"/>
              <w:pBdr>
                <w:top w:color="000000" w:space="0" w:sz="0" w:val="none"/>
                <w:left w:color="000000" w:space="0" w:sz="0" w:val="none"/>
                <w:bottom w:color="000000" w:space="0" w:sz="0" w:val="none"/>
                <w:right w:color="000000" w:space="0" w:sz="0" w:val="none"/>
                <w:between w:color="000000" w:space="0" w:sz="0" w:val="none"/>
              </w:pBdr>
              <w:spacing w:after="60" w:before="60" w:line="360" w:lineRule="auto"/>
              <w:jc w:val="both"/>
              <w:rPr>
                <w:rFonts w:ascii="Georgia" w:cs="Georgia" w:eastAsia="Georgia" w:hAnsi="Georgia"/>
                <w:b w:val="1"/>
                <w:bCs w:val="1"/>
                <w:sz w:val="24"/>
                <w:szCs w:val="24"/>
              </w:rPr>
            </w:pPr>
            <w:r w:rsidDel="00000000" w:rsidR="00000000" w:rsidRPr="00000000">
              <w:rPr>
                <w:rFonts w:ascii="Georgia" w:cs="Georgia" w:eastAsia="Georgia" w:hAnsi="Georgia"/>
                <w:b w:val="1"/>
                <w:bCs w:val="1"/>
                <w:sz w:val="24"/>
                <w:szCs w:val="24"/>
                <w:rtl w:val="0"/>
              </w:rPr>
              <w:t xml:space="preserve">BASE GIURIDICA</w:t>
            </w:r>
          </w:p>
        </w:tc>
      </w:tr>
      <w:tr>
        <w:trPr>
          <w:cantSplit w:val="0"/>
          <w:tblHeader w:val="0"/>
        </w:trPr>
        <w:tc>
          <w:tcPr/>
          <w:p w:rsidR="00000000" w:rsidDel="00000000" w:rsidP="00000000" w:rsidRDefault="00000000" w:rsidRPr="00000000" w14:paraId="00000095">
            <w:pPr>
              <w:widowControl w:val="0"/>
              <w:pBdr>
                <w:top w:color="000000" w:space="0" w:sz="0" w:val="none"/>
                <w:left w:color="000000" w:space="0" w:sz="0" w:val="none"/>
                <w:bottom w:color="000000" w:space="0" w:sz="0" w:val="none"/>
                <w:right w:color="000000" w:space="0" w:sz="0" w:val="none"/>
                <w:between w:color="000000" w:space="0" w:sz="0" w:val="none"/>
              </w:pBd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Gestione delle adesioni</w:t>
            </w:r>
          </w:p>
        </w:tc>
        <w:tc>
          <w:tcPr/>
          <w:p w:rsidR="00000000" w:rsidDel="00000000" w:rsidP="00000000" w:rsidRDefault="00000000" w:rsidRPr="00000000" w14:paraId="00000096">
            <w:pPr>
              <w:widowControl w:val="0"/>
              <w:pBdr>
                <w:top w:color="000000" w:space="0" w:sz="0" w:val="none"/>
                <w:left w:color="000000" w:space="0" w:sz="0" w:val="none"/>
                <w:bottom w:color="000000" w:space="0" w:sz="0" w:val="none"/>
                <w:right w:color="000000" w:space="0" w:sz="0" w:val="none"/>
                <w:between w:color="000000" w:space="0" w:sz="0" w:val="none"/>
              </w:pBd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art. 6 § 1 lett. b – adempimenti contrattuali</w:t>
            </w:r>
          </w:p>
        </w:tc>
      </w:tr>
      <w:tr>
        <w:trPr>
          <w:cantSplit w:val="0"/>
          <w:tblHeader w:val="0"/>
        </w:trPr>
        <w:tc>
          <w:tcPr/>
          <w:p w:rsidR="00000000" w:rsidDel="00000000" w:rsidP="00000000" w:rsidRDefault="00000000" w:rsidRPr="00000000" w14:paraId="00000097">
            <w:pPr>
              <w:widowControl w:val="0"/>
              <w:pBdr>
                <w:top w:color="000000" w:space="0" w:sz="0" w:val="none"/>
                <w:left w:color="000000" w:space="0" w:sz="0" w:val="none"/>
                <w:bottom w:color="000000" w:space="0" w:sz="0" w:val="none"/>
                <w:right w:color="000000" w:space="0" w:sz="0" w:val="none"/>
                <w:between w:color="000000" w:space="0" w:sz="0" w:val="none"/>
              </w:pBd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Ripartizione dell’energia</w:t>
            </w:r>
          </w:p>
        </w:tc>
        <w:tc>
          <w:tcPr/>
          <w:p w:rsidR="00000000" w:rsidDel="00000000" w:rsidP="00000000" w:rsidRDefault="00000000" w:rsidRPr="00000000" w14:paraId="00000098">
            <w:pPr>
              <w:widowControl w:val="0"/>
              <w:pBdr>
                <w:top w:color="000000" w:space="0" w:sz="0" w:val="none"/>
                <w:left w:color="000000" w:space="0" w:sz="0" w:val="none"/>
                <w:bottom w:color="000000" w:space="0" w:sz="0" w:val="none"/>
                <w:right w:color="000000" w:space="0" w:sz="0" w:val="none"/>
                <w:between w:color="000000" w:space="0" w:sz="0" w:val="none"/>
              </w:pBd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art. 6 § 1 lett. c – obblighi di legge</w:t>
            </w:r>
          </w:p>
        </w:tc>
      </w:tr>
      <w:tr>
        <w:trPr>
          <w:cantSplit w:val="0"/>
          <w:tblHeader w:val="0"/>
        </w:trPr>
        <w:tc>
          <w:tcPr/>
          <w:p w:rsidR="00000000" w:rsidDel="00000000" w:rsidP="00000000" w:rsidRDefault="00000000" w:rsidRPr="00000000" w14:paraId="00000099">
            <w:pPr>
              <w:widowControl w:val="0"/>
              <w:pBdr>
                <w:top w:color="000000" w:space="0" w:sz="0" w:val="none"/>
                <w:left w:color="000000" w:space="0" w:sz="0" w:val="none"/>
                <w:bottom w:color="000000" w:space="0" w:sz="0" w:val="none"/>
                <w:right w:color="000000" w:space="0" w:sz="0" w:val="none"/>
                <w:between w:color="000000" w:space="0" w:sz="0" w:val="none"/>
              </w:pBd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Gestione benefici economici </w:t>
            </w:r>
          </w:p>
        </w:tc>
        <w:tc>
          <w:tcPr/>
          <w:p w:rsidR="00000000" w:rsidDel="00000000" w:rsidP="00000000" w:rsidRDefault="00000000" w:rsidRPr="00000000" w14:paraId="0000009A">
            <w:pPr>
              <w:widowControl w:val="0"/>
              <w:pBdr>
                <w:top w:color="000000" w:space="0" w:sz="0" w:val="none"/>
                <w:left w:color="000000" w:space="0" w:sz="0" w:val="none"/>
                <w:bottom w:color="000000" w:space="0" w:sz="0" w:val="none"/>
                <w:right w:color="000000" w:space="0" w:sz="0" w:val="none"/>
                <w:between w:color="000000" w:space="0" w:sz="0" w:val="none"/>
              </w:pBd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art. 6 § 1 lett. c – obblighi di legge</w:t>
            </w:r>
          </w:p>
        </w:tc>
      </w:tr>
      <w:tr>
        <w:trPr>
          <w:cantSplit w:val="0"/>
          <w:tblHeader w:val="0"/>
        </w:trPr>
        <w:tc>
          <w:tcPr/>
          <w:p w:rsidR="00000000" w:rsidDel="00000000" w:rsidP="00000000" w:rsidRDefault="00000000" w:rsidRPr="00000000" w14:paraId="0000009B">
            <w:pPr>
              <w:widowControl w:val="0"/>
              <w:pBdr>
                <w:top w:color="000000" w:space="0" w:sz="0" w:val="none"/>
                <w:left w:color="000000" w:space="0" w:sz="0" w:val="none"/>
                <w:bottom w:color="000000" w:space="0" w:sz="0" w:val="none"/>
                <w:right w:color="000000" w:space="0" w:sz="0" w:val="none"/>
                <w:between w:color="000000" w:space="0" w:sz="0" w:val="none"/>
              </w:pBd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Adempimenti amministrativi</w:t>
            </w:r>
          </w:p>
        </w:tc>
        <w:tc>
          <w:tcPr/>
          <w:p w:rsidR="00000000" w:rsidDel="00000000" w:rsidP="00000000" w:rsidRDefault="00000000" w:rsidRPr="00000000" w14:paraId="0000009C">
            <w:pPr>
              <w:widowControl w:val="0"/>
              <w:pBdr>
                <w:top w:color="000000" w:space="0" w:sz="0" w:val="none"/>
                <w:left w:color="000000" w:space="0" w:sz="0" w:val="none"/>
                <w:bottom w:color="000000" w:space="0" w:sz="0" w:val="none"/>
                <w:right w:color="000000" w:space="0" w:sz="0" w:val="none"/>
                <w:between w:color="000000" w:space="0" w:sz="0" w:val="none"/>
              </w:pBd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art. 6 § 1 lett. b – adempimenti contrattuali</w:t>
            </w:r>
          </w:p>
        </w:tc>
      </w:tr>
    </w:tbl>
    <w:p w:rsidR="00000000" w:rsidDel="00000000" w:rsidP="00000000" w:rsidRDefault="00000000" w:rsidRPr="00000000" w14:paraId="0000009D">
      <w:pPr>
        <w:widowControl w:val="0"/>
        <w:pBdr>
          <w:top w:color="000000" w:space="0" w:sz="0" w:val="none"/>
          <w:left w:color="000000" w:space="0" w:sz="0" w:val="none"/>
          <w:bottom w:color="000000" w:space="0" w:sz="0" w:val="none"/>
          <w:right w:color="000000" w:space="0" w:sz="0" w:val="none"/>
          <w:between w:color="000000" w:space="0" w:sz="0" w:val="none"/>
        </w:pBdr>
        <w:spacing w:after="60" w:before="60" w:line="360" w:lineRule="auto"/>
        <w:ind w:left="20" w:firstLine="0"/>
        <w:jc w:val="both"/>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9E">
      <w:pPr>
        <w:spacing w:after="60" w:before="60" w:line="360" w:lineRule="auto"/>
        <w:jc w:val="both"/>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9F">
      <w:pP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i w:val="1"/>
          <w:iCs w:val="1"/>
          <w:sz w:val="24"/>
          <w:szCs w:val="24"/>
          <w:rtl w:val="0"/>
        </w:rPr>
        <w:t xml:space="preserve">Durata del trattamento</w:t>
      </w:r>
      <w:r w:rsidDel="00000000" w:rsidR="00000000" w:rsidRPr="00000000">
        <w:rPr>
          <w:rtl w:val="0"/>
        </w:rPr>
      </w:r>
    </w:p>
    <w:p w:rsidR="00000000" w:rsidDel="00000000" w:rsidP="00000000" w:rsidRDefault="00000000" w:rsidRPr="00000000" w14:paraId="000000A0">
      <w:pP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dati forniti verranno conservati per il periodo necessario alla durata del rapporto associativo e successivi obblighi fiscali/legali.</w:t>
      </w:r>
    </w:p>
    <w:p w:rsidR="00000000" w:rsidDel="00000000" w:rsidP="00000000" w:rsidRDefault="00000000" w:rsidRPr="00000000" w14:paraId="000000A1">
      <w:pPr>
        <w:spacing w:after="60" w:before="60" w:line="360" w:lineRule="auto"/>
        <w:jc w:val="both"/>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A2">
      <w:pP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i w:val="1"/>
          <w:iCs w:val="1"/>
          <w:sz w:val="24"/>
          <w:szCs w:val="24"/>
          <w:rtl w:val="0"/>
        </w:rPr>
        <w:t xml:space="preserve">Per il trattamento da parte di (sub-)responsabili del trattamento, specificare anche la materia disciplinata, la natura e la durata del trattamento </w:t>
      </w:r>
      <w:r w:rsidDel="00000000" w:rsidR="00000000" w:rsidRPr="00000000">
        <w:rPr>
          <w:rtl w:val="0"/>
        </w:rPr>
      </w:r>
    </w:p>
    <w:p w:rsidR="00000000" w:rsidDel="00000000" w:rsidP="00000000" w:rsidRDefault="00000000" w:rsidRPr="00000000" w14:paraId="000000A3">
      <w:pP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Il Responsabile potrà ricorrere a sub-responsabili, imponendo agli stessi obblighi in materia di protezione dei dati equivalenti a quelli previsti nel presente atto.</w:t>
      </w:r>
    </w:p>
    <w:p w:rsidR="00000000" w:rsidDel="00000000" w:rsidP="00000000" w:rsidRDefault="00000000" w:rsidRPr="00000000" w14:paraId="000000A4">
      <w:pPr>
        <w:spacing w:after="60" w:before="60" w:line="360" w:lineRule="auto"/>
        <w:jc w:val="both"/>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A5">
      <w:pPr>
        <w:spacing w:after="60" w:before="60" w:line="360" w:lineRule="auto"/>
        <w:jc w:val="both"/>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A6">
      <w:pPr>
        <w:spacing w:after="60" w:before="60" w:line="360" w:lineRule="auto"/>
        <w:jc w:val="both"/>
        <w:rPr>
          <w:rFonts w:ascii="Georgia" w:cs="Georgia" w:eastAsia="Georgia" w:hAnsi="Georgia"/>
          <w:i w:val="1"/>
          <w:iCs w:val="1"/>
          <w:sz w:val="24"/>
          <w:szCs w:val="24"/>
        </w:rPr>
      </w:pPr>
      <w:r w:rsidDel="00000000" w:rsidR="00000000" w:rsidRPr="00000000">
        <w:rPr>
          <w:rtl w:val="0"/>
        </w:rPr>
      </w:r>
    </w:p>
    <w:p w:rsidR="00000000" w:rsidDel="00000000" w:rsidP="00000000" w:rsidRDefault="00000000" w:rsidRPr="00000000" w14:paraId="000000A7">
      <w:pPr>
        <w:spacing w:after="60" w:before="60" w:line="360" w:lineRule="auto"/>
        <w:jc w:val="both"/>
        <w:rPr>
          <w:rFonts w:ascii="Georgia" w:cs="Georgia" w:eastAsia="Georgia" w:hAnsi="Georgia"/>
          <w:i w:val="1"/>
          <w:iCs w:val="1"/>
          <w:sz w:val="24"/>
          <w:szCs w:val="24"/>
        </w:rPr>
      </w:pPr>
      <w:r w:rsidDel="00000000" w:rsidR="00000000" w:rsidRPr="00000000">
        <w:rPr>
          <w:rtl w:val="0"/>
        </w:rPr>
      </w:r>
    </w:p>
    <w:p w:rsidR="00000000" w:rsidDel="00000000" w:rsidP="00000000" w:rsidRDefault="00000000" w:rsidRPr="00000000" w14:paraId="000000A8">
      <w:pPr>
        <w:spacing w:after="60" w:before="60" w:line="360" w:lineRule="auto"/>
        <w:jc w:val="both"/>
        <w:rPr>
          <w:rFonts w:ascii="Georgia" w:cs="Georgia" w:eastAsia="Georgia" w:hAnsi="Georgia"/>
          <w:i w:val="1"/>
          <w:iCs w:val="1"/>
          <w:sz w:val="24"/>
          <w:szCs w:val="24"/>
        </w:rPr>
      </w:pPr>
      <w:r w:rsidDel="00000000" w:rsidR="00000000" w:rsidRPr="00000000">
        <w:rPr>
          <w:rtl w:val="0"/>
        </w:rPr>
      </w:r>
    </w:p>
    <w:p w:rsidR="00000000" w:rsidDel="00000000" w:rsidP="00000000" w:rsidRDefault="00000000" w:rsidRPr="00000000" w14:paraId="000000A9">
      <w:pPr>
        <w:spacing w:after="60" w:before="60" w:line="360" w:lineRule="auto"/>
        <w:jc w:val="both"/>
        <w:rPr>
          <w:rFonts w:ascii="Georgia" w:cs="Georgia" w:eastAsia="Georgia" w:hAnsi="Georgia"/>
          <w:i w:val="1"/>
          <w:iCs w:val="1"/>
          <w:sz w:val="24"/>
          <w:szCs w:val="24"/>
        </w:rPr>
      </w:pPr>
      <w:r w:rsidDel="00000000" w:rsidR="00000000" w:rsidRPr="00000000">
        <w:rPr>
          <w:rtl w:val="0"/>
        </w:rPr>
      </w:r>
    </w:p>
    <w:p w:rsidR="00000000" w:rsidDel="00000000" w:rsidP="00000000" w:rsidRDefault="00000000" w:rsidRPr="00000000" w14:paraId="000000AA">
      <w:pPr>
        <w:spacing w:after="60" w:before="60" w:line="360" w:lineRule="auto"/>
        <w:jc w:val="both"/>
        <w:rPr>
          <w:rFonts w:ascii="Georgia" w:cs="Georgia" w:eastAsia="Georgia" w:hAnsi="Georgia"/>
          <w:i w:val="1"/>
          <w:iCs w:val="1"/>
          <w:sz w:val="24"/>
          <w:szCs w:val="24"/>
        </w:rPr>
      </w:pPr>
      <w:r w:rsidDel="00000000" w:rsidR="00000000" w:rsidRPr="00000000">
        <w:rPr>
          <w:rtl w:val="0"/>
        </w:rPr>
      </w:r>
    </w:p>
    <w:p w:rsidR="00000000" w:rsidDel="00000000" w:rsidP="00000000" w:rsidRDefault="00000000" w:rsidRPr="00000000" w14:paraId="000000AB">
      <w:pPr>
        <w:spacing w:after="60" w:before="60" w:line="360" w:lineRule="auto"/>
        <w:jc w:val="both"/>
        <w:rPr>
          <w:rFonts w:ascii="Georgia" w:cs="Georgia" w:eastAsia="Georgia" w:hAnsi="Georgia"/>
          <w:i w:val="1"/>
          <w:iCs w:val="1"/>
          <w:sz w:val="24"/>
          <w:szCs w:val="24"/>
        </w:rPr>
      </w:pPr>
      <w:r w:rsidDel="00000000" w:rsidR="00000000" w:rsidRPr="00000000">
        <w:rPr>
          <w:rtl w:val="0"/>
        </w:rPr>
      </w:r>
    </w:p>
    <w:p w:rsidR="00000000" w:rsidDel="00000000" w:rsidP="00000000" w:rsidRDefault="00000000" w:rsidRPr="00000000" w14:paraId="000000AC">
      <w:pPr>
        <w:spacing w:after="60" w:before="60" w:line="360" w:lineRule="auto"/>
        <w:jc w:val="both"/>
        <w:rPr>
          <w:rFonts w:ascii="Georgia" w:cs="Georgia" w:eastAsia="Georgia" w:hAnsi="Georgia"/>
          <w:i w:val="1"/>
          <w:iCs w:val="1"/>
          <w:sz w:val="24"/>
          <w:szCs w:val="24"/>
        </w:rPr>
      </w:pPr>
      <w:r w:rsidDel="00000000" w:rsidR="00000000" w:rsidRPr="00000000">
        <w:rPr>
          <w:rtl w:val="0"/>
        </w:rPr>
      </w:r>
    </w:p>
    <w:p w:rsidR="00000000" w:rsidDel="00000000" w:rsidP="00000000" w:rsidRDefault="00000000" w:rsidRPr="00000000" w14:paraId="000000AD">
      <w:pPr>
        <w:spacing w:after="60" w:before="60" w:line="360" w:lineRule="auto"/>
        <w:jc w:val="both"/>
        <w:rPr>
          <w:rFonts w:ascii="Georgia" w:cs="Georgia" w:eastAsia="Georgia" w:hAnsi="Georgia"/>
          <w:i w:val="1"/>
          <w:iCs w:val="1"/>
          <w:sz w:val="24"/>
          <w:szCs w:val="24"/>
        </w:rPr>
      </w:pPr>
      <w:r w:rsidDel="00000000" w:rsidR="00000000" w:rsidRPr="00000000">
        <w:rPr>
          <w:rtl w:val="0"/>
        </w:rPr>
      </w:r>
    </w:p>
    <w:p w:rsidR="00000000" w:rsidDel="00000000" w:rsidP="00000000" w:rsidRDefault="00000000" w:rsidRPr="00000000" w14:paraId="000000AE">
      <w:pPr>
        <w:spacing w:after="60" w:before="60" w:line="360" w:lineRule="auto"/>
        <w:jc w:val="both"/>
        <w:rPr>
          <w:rFonts w:ascii="Georgia" w:cs="Georgia" w:eastAsia="Georgia" w:hAnsi="Georgia"/>
          <w:i w:val="1"/>
          <w:iCs w:val="1"/>
          <w:sz w:val="24"/>
          <w:szCs w:val="24"/>
        </w:rPr>
      </w:pPr>
      <w:r w:rsidDel="00000000" w:rsidR="00000000" w:rsidRPr="00000000">
        <w:rPr>
          <w:rtl w:val="0"/>
        </w:rPr>
      </w:r>
    </w:p>
    <w:p w:rsidR="00000000" w:rsidDel="00000000" w:rsidP="00000000" w:rsidRDefault="00000000" w:rsidRPr="00000000" w14:paraId="000000AF">
      <w:pPr>
        <w:spacing w:after="60" w:before="60" w:line="360" w:lineRule="auto"/>
        <w:jc w:val="both"/>
        <w:rPr>
          <w:rFonts w:ascii="Georgia" w:cs="Georgia" w:eastAsia="Georgia" w:hAnsi="Georgia"/>
          <w:i w:val="1"/>
          <w:iCs w:val="1"/>
          <w:sz w:val="24"/>
          <w:szCs w:val="24"/>
        </w:rPr>
      </w:pPr>
      <w:r w:rsidDel="00000000" w:rsidR="00000000" w:rsidRPr="00000000">
        <w:rPr>
          <w:rtl w:val="0"/>
        </w:rPr>
      </w:r>
    </w:p>
    <w:p w:rsidR="00000000" w:rsidDel="00000000" w:rsidP="00000000" w:rsidRDefault="00000000" w:rsidRPr="00000000" w14:paraId="000000B0">
      <w:pP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i w:val="1"/>
          <w:iCs w:val="1"/>
          <w:sz w:val="24"/>
          <w:szCs w:val="24"/>
          <w:rtl w:val="0"/>
        </w:rPr>
        <w:t xml:space="preserve">ALLEGATO III </w:t>
      </w:r>
      <w:r w:rsidDel="00000000" w:rsidR="00000000" w:rsidRPr="00000000">
        <w:rPr>
          <w:rtl w:val="0"/>
        </w:rPr>
      </w:r>
    </w:p>
    <w:p w:rsidR="00000000" w:rsidDel="00000000" w:rsidP="00000000" w:rsidRDefault="00000000" w:rsidRPr="00000000" w14:paraId="000000B1">
      <w:pP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b w:val="1"/>
          <w:bCs w:val="1"/>
          <w:sz w:val="24"/>
          <w:szCs w:val="24"/>
          <w:rtl w:val="0"/>
        </w:rPr>
        <w:t xml:space="preserve">Misure tecniche e organizzative, comprese misure tecniche e organizzative per garantire la sicurezza dei dati adottate dal Responsabile</w:t>
      </w:r>
      <w:r w:rsidDel="00000000" w:rsidR="00000000" w:rsidRPr="00000000">
        <w:rPr>
          <w:rtl w:val="0"/>
        </w:rPr>
      </w:r>
    </w:p>
    <w:tbl>
      <w:tblPr>
        <w:tblStyle w:val="Table2"/>
        <w:tblW w:w="8728.0" w:type="dxa"/>
        <w:jc w:val="left"/>
        <w:tblLayout w:type="fixed"/>
        <w:tblLook w:val="0400"/>
      </w:tblPr>
      <w:tblGrid>
        <w:gridCol w:w="2301"/>
        <w:gridCol w:w="6281"/>
        <w:gridCol w:w="146"/>
        <w:tblGridChange w:id="0">
          <w:tblGrid>
            <w:gridCol w:w="2301"/>
            <w:gridCol w:w="6281"/>
            <w:gridCol w:w="146"/>
          </w:tblGrid>
        </w:tblGridChange>
      </w:tblGrid>
      <w:tr>
        <w:trPr>
          <w:cantSplit w:val="0"/>
          <w:trHeight w:val="20" w:hRule="atLeast"/>
          <w:tblHeader w:val="0"/>
        </w:trPr>
        <w:tc>
          <w:tcPr>
            <w:tcBorders>
              <w:top w:color="000000" w:space="0" w:sz="0" w:val="nil"/>
              <w:left w:color="000000" w:space="0" w:sz="0" w:val="nil"/>
              <w:bottom w:color="000000" w:space="0" w:sz="0" w:val="nil"/>
              <w:right w:color="c1c2de" w:space="0" w:sz="8" w:val="single"/>
            </w:tcBorders>
            <w:shd w:fill="d21145" w:val="clear"/>
            <w:vAlign w:val="center"/>
          </w:tcPr>
          <w:p w:rsidR="00000000" w:rsidDel="00000000" w:rsidP="00000000" w:rsidRDefault="00000000" w:rsidRPr="00000000" w14:paraId="000000B2">
            <w:pPr>
              <w:pBdr>
                <w:top w:color="000000" w:space="0" w:sz="0" w:val="none"/>
                <w:left w:color="000000" w:space="0" w:sz="0" w:val="none"/>
                <w:bottom w:color="000000" w:space="0" w:sz="0" w:val="none"/>
                <w:right w:color="000000" w:space="0" w:sz="0" w:val="none"/>
                <w:between w:color="000000" w:space="0" w:sz="0" w:val="none"/>
              </w:pBdr>
              <w:spacing w:after="60" w:before="60" w:line="360" w:lineRule="auto"/>
              <w:jc w:val="both"/>
              <w:rPr>
                <w:rFonts w:ascii="Georgia" w:cs="Georgia" w:eastAsia="Georgia" w:hAnsi="Georgia"/>
                <w:b w:val="1"/>
                <w:bCs w:val="1"/>
                <w:color w:val="ffffff"/>
                <w:sz w:val="24"/>
                <w:szCs w:val="24"/>
              </w:rPr>
            </w:pPr>
            <w:r w:rsidDel="00000000" w:rsidR="00000000" w:rsidRPr="00000000">
              <w:rPr>
                <w:rFonts w:ascii="Georgia" w:cs="Georgia" w:eastAsia="Georgia" w:hAnsi="Georgia"/>
                <w:b w:val="1"/>
                <w:bCs w:val="1"/>
                <w:color w:val="ffffff"/>
                <w:sz w:val="24"/>
                <w:szCs w:val="24"/>
                <w:rtl w:val="0"/>
              </w:rPr>
              <w:t xml:space="preserve">AMBITO</w:t>
            </w:r>
          </w:p>
        </w:tc>
        <w:tc>
          <w:tcPr>
            <w:tcBorders>
              <w:top w:color="000000" w:space="0" w:sz="0" w:val="nil"/>
              <w:left w:color="000000" w:space="0" w:sz="0" w:val="nil"/>
              <w:bottom w:color="000000" w:space="0" w:sz="0" w:val="nil"/>
              <w:right w:color="c1c2de" w:space="0" w:sz="8" w:val="single"/>
            </w:tcBorders>
            <w:shd w:fill="d21145" w:val="clear"/>
            <w:vAlign w:val="center"/>
          </w:tcPr>
          <w:p w:rsidR="00000000" w:rsidDel="00000000" w:rsidP="00000000" w:rsidRDefault="00000000" w:rsidRPr="00000000" w14:paraId="000000B3">
            <w:pPr>
              <w:pBdr>
                <w:top w:color="000000" w:space="0" w:sz="0" w:val="none"/>
                <w:left w:color="000000" w:space="0" w:sz="0" w:val="none"/>
                <w:bottom w:color="000000" w:space="0" w:sz="0" w:val="none"/>
                <w:right w:color="000000" w:space="0" w:sz="0" w:val="none"/>
                <w:between w:color="000000" w:space="0" w:sz="0" w:val="none"/>
              </w:pBdr>
              <w:spacing w:after="60" w:before="60" w:line="360" w:lineRule="auto"/>
              <w:jc w:val="both"/>
              <w:rPr>
                <w:rFonts w:ascii="Georgia" w:cs="Georgia" w:eastAsia="Georgia" w:hAnsi="Georgia"/>
                <w:b w:val="1"/>
                <w:bCs w:val="1"/>
                <w:color w:val="ffffff"/>
                <w:sz w:val="24"/>
                <w:szCs w:val="24"/>
              </w:rPr>
            </w:pPr>
            <w:r w:rsidDel="00000000" w:rsidR="00000000" w:rsidRPr="00000000">
              <w:rPr>
                <w:rFonts w:ascii="Georgia" w:cs="Georgia" w:eastAsia="Georgia" w:hAnsi="Georgia"/>
                <w:b w:val="1"/>
                <w:bCs w:val="1"/>
                <w:color w:val="ffffff"/>
                <w:sz w:val="24"/>
                <w:szCs w:val="24"/>
                <w:rtl w:val="0"/>
              </w:rPr>
              <w:t xml:space="preserve">DESCRIZIONE DELLA MISURA DI SICUREZZA </w:t>
            </w:r>
          </w:p>
        </w:tc>
      </w:tr>
      <w:tr>
        <w:trPr>
          <w:cantSplit w:val="0"/>
          <w:trHeight w:val="20" w:hRule="atLeast"/>
          <w:tblHeader w:val="0"/>
        </w:trPr>
        <w:tc>
          <w:tcPr>
            <w:tcBorders>
              <w:top w:color="000000" w:space="0" w:sz="8" w:val="single"/>
              <w:left w:color="000000" w:space="0" w:sz="8" w:val="single"/>
              <w:bottom w:color="000000" w:space="0" w:sz="8" w:val="single"/>
              <w:right w:color="000000" w:space="0" w:sz="8" w:val="single"/>
            </w:tcBorders>
            <w:shd w:fill="ffffff" w:val="clear"/>
            <w:vAlign w:val="center"/>
          </w:tcPr>
          <w:p w:rsidR="00000000" w:rsidDel="00000000" w:rsidP="00000000" w:rsidRDefault="00000000" w:rsidRPr="00000000" w14:paraId="000000B4">
            <w:pPr>
              <w:pBdr>
                <w:top w:color="000000" w:space="0" w:sz="0" w:val="none"/>
                <w:left w:color="000000" w:space="0" w:sz="0" w:val="none"/>
                <w:bottom w:color="000000" w:space="0" w:sz="0" w:val="none"/>
                <w:right w:color="000000" w:space="0" w:sz="0" w:val="none"/>
                <w:between w:color="000000" w:space="0" w:sz="0" w:val="none"/>
              </w:pBd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Politica di sicurezza e procedure per la protezione dei dati personali </w:t>
            </w:r>
          </w:p>
        </w:tc>
        <w:tc>
          <w:tcPr>
            <w:tcBorders>
              <w:top w:color="000000" w:space="0" w:sz="8" w:val="single"/>
              <w:left w:color="000000" w:space="0" w:sz="0" w:val="nil"/>
              <w:bottom w:color="000000" w:space="0" w:sz="8" w:val="single"/>
              <w:right w:color="000000" w:space="0" w:sz="8" w:val="single"/>
            </w:tcBorders>
            <w:shd w:fill="ffffff" w:val="clear"/>
            <w:vAlign w:val="center"/>
          </w:tcPr>
          <w:p w:rsidR="00000000" w:rsidDel="00000000" w:rsidP="00000000" w:rsidRDefault="00000000" w:rsidRPr="00000000" w14:paraId="000000B5">
            <w:pPr>
              <w:pBdr>
                <w:top w:color="000000" w:space="0" w:sz="0" w:val="none"/>
                <w:left w:color="000000" w:space="0" w:sz="0" w:val="none"/>
                <w:bottom w:color="000000" w:space="0" w:sz="0" w:val="none"/>
                <w:right w:color="000000" w:space="0" w:sz="0" w:val="none"/>
                <w:between w:color="000000" w:space="0" w:sz="0" w:val="none"/>
              </w:pBd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L'organizzazione ha adottato una politica in merito al trattamento dei dati personali come parte della sua politica di sicurezza delle informazioni. </w:t>
            </w:r>
          </w:p>
        </w:tc>
      </w:tr>
      <w:tr>
        <w:trPr>
          <w:cantSplit w:val="0"/>
          <w:trHeight w:val="20" w:hRule="atLeast"/>
          <w:tblHeader w:val="0"/>
        </w:trPr>
        <w:tc>
          <w:tcPr>
            <w:tcBorders>
              <w:top w:color="000000" w:space="0" w:sz="0" w:val="nil"/>
              <w:left w:color="000000" w:space="0" w:sz="8" w:val="single"/>
              <w:bottom w:color="000000" w:space="0" w:sz="8" w:val="single"/>
              <w:right w:color="000000" w:space="0" w:sz="8" w:val="single"/>
            </w:tcBorders>
            <w:shd w:fill="ffffff" w:val="clear"/>
            <w:vAlign w:val="center"/>
          </w:tcPr>
          <w:p w:rsidR="00000000" w:rsidDel="00000000" w:rsidP="00000000" w:rsidRDefault="00000000" w:rsidRPr="00000000" w14:paraId="000000B6">
            <w:pPr>
              <w:pBdr>
                <w:top w:color="000000" w:space="0" w:sz="0" w:val="none"/>
                <w:left w:color="000000" w:space="0" w:sz="0" w:val="none"/>
                <w:bottom w:color="000000" w:space="0" w:sz="0" w:val="none"/>
                <w:right w:color="000000" w:space="0" w:sz="0" w:val="none"/>
                <w:between w:color="000000" w:space="0" w:sz="0" w:val="none"/>
              </w:pBd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Ruoli e responsabilità </w:t>
            </w:r>
          </w:p>
        </w:tc>
        <w:tc>
          <w:tcPr>
            <w:tcBorders>
              <w:top w:color="000000" w:space="0" w:sz="0" w:val="nil"/>
              <w:left w:color="000000" w:space="0" w:sz="0" w:val="nil"/>
              <w:bottom w:color="000000" w:space="0" w:sz="8" w:val="single"/>
              <w:right w:color="000000" w:space="0" w:sz="8" w:val="single"/>
            </w:tcBorders>
            <w:shd w:fill="ffffff" w:val="clear"/>
            <w:vAlign w:val="center"/>
          </w:tcPr>
          <w:p w:rsidR="00000000" w:rsidDel="00000000" w:rsidP="00000000" w:rsidRDefault="00000000" w:rsidRPr="00000000" w14:paraId="000000B7">
            <w:pPr>
              <w:pBdr>
                <w:top w:color="000000" w:space="0" w:sz="0" w:val="none"/>
                <w:left w:color="000000" w:space="0" w:sz="0" w:val="none"/>
                <w:bottom w:color="000000" w:space="0" w:sz="0" w:val="none"/>
                <w:right w:color="000000" w:space="0" w:sz="0" w:val="none"/>
                <w:between w:color="000000" w:space="0" w:sz="0" w:val="none"/>
              </w:pBd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L’azienda ha definito ed individuato i ruoli e le responsabilità relativi al trattamento dei dati personali ed è in grado di gestire efficacemente eventuali cambi di mansioni per le figure di riferimento interne. </w:t>
            </w:r>
          </w:p>
        </w:tc>
      </w:tr>
      <w:tr>
        <w:trPr>
          <w:cantSplit w:val="0"/>
          <w:trHeight w:val="20" w:hRule="atLeast"/>
          <w:tblHeader w:val="0"/>
        </w:trPr>
        <w:tc>
          <w:tcPr>
            <w:tcBorders>
              <w:top w:color="000000" w:space="0" w:sz="0" w:val="nil"/>
              <w:left w:color="000000" w:space="0" w:sz="8" w:val="single"/>
              <w:bottom w:color="000000" w:space="0" w:sz="8" w:val="single"/>
              <w:right w:color="000000" w:space="0" w:sz="8" w:val="single"/>
            </w:tcBorders>
            <w:shd w:fill="ffffff" w:val="clear"/>
            <w:vAlign w:val="center"/>
          </w:tcPr>
          <w:p w:rsidR="00000000" w:rsidDel="00000000" w:rsidP="00000000" w:rsidRDefault="00000000" w:rsidRPr="00000000" w14:paraId="000000B8">
            <w:pPr>
              <w:pBdr>
                <w:top w:color="000000" w:space="0" w:sz="0" w:val="none"/>
                <w:left w:color="000000" w:space="0" w:sz="0" w:val="none"/>
                <w:bottom w:color="000000" w:space="0" w:sz="0" w:val="none"/>
                <w:right w:color="000000" w:space="0" w:sz="0" w:val="none"/>
                <w:between w:color="000000" w:space="0" w:sz="0" w:val="none"/>
              </w:pBd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Politica di controllo degli accessi </w:t>
            </w:r>
          </w:p>
        </w:tc>
        <w:tc>
          <w:tcPr>
            <w:tcBorders>
              <w:top w:color="000000" w:space="0" w:sz="0" w:val="nil"/>
              <w:left w:color="000000" w:space="0" w:sz="0" w:val="nil"/>
              <w:bottom w:color="000000" w:space="0" w:sz="8" w:val="single"/>
              <w:right w:color="000000" w:space="0" w:sz="8" w:val="single"/>
            </w:tcBorders>
            <w:shd w:fill="ffffff" w:val="clear"/>
            <w:vAlign w:val="center"/>
          </w:tcPr>
          <w:p w:rsidR="00000000" w:rsidDel="00000000" w:rsidP="00000000" w:rsidRDefault="00000000" w:rsidRPr="00000000" w14:paraId="000000B9">
            <w:pPr>
              <w:pBdr>
                <w:top w:color="000000" w:space="0" w:sz="0" w:val="none"/>
                <w:left w:color="000000" w:space="0" w:sz="0" w:val="none"/>
                <w:bottom w:color="000000" w:space="0" w:sz="0" w:val="none"/>
                <w:right w:color="000000" w:space="0" w:sz="0" w:val="none"/>
                <w:between w:color="000000" w:space="0" w:sz="0" w:val="none"/>
              </w:pBd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diritti specifici di controllo degli accessi sono assegnati a ciascun ruolo (coinvolto nel trattamento di dati personali) in base al principio della stretta pertinenza e necessità per il ruolo di accedere e conoscere i dati e sono documentati. </w:t>
            </w:r>
          </w:p>
        </w:tc>
      </w:tr>
      <w:tr>
        <w:trPr>
          <w:cantSplit w:val="0"/>
          <w:trHeight w:val="20" w:hRule="atLeast"/>
          <w:tblHeader w:val="0"/>
        </w:trPr>
        <w:tc>
          <w:tcPr>
            <w:tcBorders>
              <w:top w:color="000000" w:space="0" w:sz="0" w:val="nil"/>
              <w:left w:color="000000" w:space="0" w:sz="8" w:val="single"/>
              <w:bottom w:color="000000" w:space="0" w:sz="8" w:val="single"/>
              <w:right w:color="000000" w:space="0" w:sz="8" w:val="single"/>
            </w:tcBorders>
            <w:shd w:fill="ffffff" w:val="clear"/>
            <w:vAlign w:val="center"/>
          </w:tcPr>
          <w:p w:rsidR="00000000" w:rsidDel="00000000" w:rsidP="00000000" w:rsidRDefault="00000000" w:rsidRPr="00000000" w14:paraId="000000BA">
            <w:pPr>
              <w:pBdr>
                <w:top w:color="000000" w:space="0" w:sz="0" w:val="none"/>
                <w:left w:color="000000" w:space="0" w:sz="0" w:val="none"/>
                <w:bottom w:color="000000" w:space="0" w:sz="0" w:val="none"/>
                <w:right w:color="000000" w:space="0" w:sz="0" w:val="none"/>
                <w:between w:color="000000" w:space="0" w:sz="0" w:val="none"/>
              </w:pBd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Gestione risorse/asset </w:t>
            </w:r>
          </w:p>
        </w:tc>
        <w:tc>
          <w:tcPr>
            <w:tcBorders>
              <w:top w:color="000000" w:space="0" w:sz="0" w:val="nil"/>
              <w:left w:color="000000" w:space="0" w:sz="0" w:val="nil"/>
              <w:bottom w:color="000000" w:space="0" w:sz="8" w:val="single"/>
              <w:right w:color="000000" w:space="0" w:sz="8" w:val="single"/>
            </w:tcBorders>
            <w:shd w:fill="ffffff" w:val="clear"/>
            <w:vAlign w:val="center"/>
          </w:tcPr>
          <w:p w:rsidR="00000000" w:rsidDel="00000000" w:rsidP="00000000" w:rsidRDefault="00000000" w:rsidRPr="00000000" w14:paraId="000000BB">
            <w:pPr>
              <w:pBdr>
                <w:top w:color="000000" w:space="0" w:sz="0" w:val="none"/>
                <w:left w:color="000000" w:space="0" w:sz="0" w:val="none"/>
                <w:bottom w:color="000000" w:space="0" w:sz="0" w:val="none"/>
                <w:right w:color="000000" w:space="0" w:sz="0" w:val="none"/>
                <w:between w:color="000000" w:space="0" w:sz="0" w:val="none"/>
              </w:pBd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L'organizzazione dispone di un inventario aggiornato delle risorse e degli apparati IT utilizzati per il trattamento dei dati personali svolto attraverso gli apparati di videosorveglianza.</w:t>
            </w:r>
          </w:p>
        </w:tc>
      </w:tr>
      <w:tr>
        <w:trPr>
          <w:cantSplit w:val="0"/>
          <w:trHeight w:val="20" w:hRule="atLeast"/>
          <w:tblHeader w:val="0"/>
        </w:trPr>
        <w:tc>
          <w:tcPr>
            <w:tcBorders>
              <w:top w:color="000000" w:space="0" w:sz="0" w:val="nil"/>
              <w:left w:color="000000" w:space="0" w:sz="8" w:val="single"/>
              <w:bottom w:color="000000" w:space="0" w:sz="8" w:val="single"/>
              <w:right w:color="000000" w:space="0" w:sz="8" w:val="single"/>
            </w:tcBorders>
            <w:shd w:fill="ffffff" w:val="clear"/>
            <w:vAlign w:val="center"/>
          </w:tcPr>
          <w:p w:rsidR="00000000" w:rsidDel="00000000" w:rsidP="00000000" w:rsidRDefault="00000000" w:rsidRPr="00000000" w14:paraId="000000BC">
            <w:pPr>
              <w:pBdr>
                <w:top w:color="000000" w:space="0" w:sz="0" w:val="none"/>
                <w:left w:color="000000" w:space="0" w:sz="0" w:val="none"/>
                <w:bottom w:color="000000" w:space="0" w:sz="0" w:val="none"/>
                <w:right w:color="000000" w:space="0" w:sz="0" w:val="none"/>
                <w:between w:color="000000" w:space="0" w:sz="0" w:val="none"/>
              </w:pBd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Gestione delle modifiche apportate alle risorse, agli apparati ed ai sistemi IT  </w:t>
            </w:r>
          </w:p>
        </w:tc>
        <w:tc>
          <w:tcPr>
            <w:tcBorders>
              <w:top w:color="000000" w:space="0" w:sz="0" w:val="nil"/>
              <w:left w:color="000000" w:space="0" w:sz="0" w:val="nil"/>
              <w:bottom w:color="000000" w:space="0" w:sz="8" w:val="single"/>
              <w:right w:color="000000" w:space="0" w:sz="8" w:val="single"/>
            </w:tcBorders>
            <w:shd w:fill="ffffff" w:val="clear"/>
            <w:vAlign w:val="center"/>
          </w:tcPr>
          <w:p w:rsidR="00000000" w:rsidDel="00000000" w:rsidP="00000000" w:rsidRDefault="00000000" w:rsidRPr="00000000" w14:paraId="000000BD">
            <w:pPr>
              <w:pBdr>
                <w:top w:color="000000" w:space="0" w:sz="0" w:val="none"/>
                <w:left w:color="000000" w:space="0" w:sz="0" w:val="none"/>
                <w:bottom w:color="000000" w:space="0" w:sz="0" w:val="none"/>
                <w:right w:color="000000" w:space="0" w:sz="0" w:val="none"/>
                <w:between w:color="000000" w:space="0" w:sz="0" w:val="none"/>
              </w:pBd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L’azienda ha affidato la gestione delle eventuali modifiche alle risorse, agli apparati ed al sistema IT all’amministratore di sistema designato che monitora l’intera struttura. </w:t>
            </w:r>
          </w:p>
        </w:tc>
      </w:tr>
      <w:tr>
        <w:trPr>
          <w:cantSplit w:val="0"/>
          <w:trHeight w:val="20" w:hRule="atLeast"/>
          <w:tblHeader w:val="0"/>
        </w:trPr>
        <w:tc>
          <w:tcPr>
            <w:tcBorders>
              <w:top w:color="000000" w:space="0" w:sz="0" w:val="nil"/>
              <w:left w:color="000000" w:space="0" w:sz="8" w:val="single"/>
              <w:bottom w:color="000000" w:space="0" w:sz="8" w:val="single"/>
              <w:right w:color="000000" w:space="0" w:sz="8" w:val="single"/>
            </w:tcBorders>
            <w:shd w:fill="ffffff" w:val="clear"/>
            <w:vAlign w:val="center"/>
          </w:tcPr>
          <w:p w:rsidR="00000000" w:rsidDel="00000000" w:rsidP="00000000" w:rsidRDefault="00000000" w:rsidRPr="00000000" w14:paraId="000000BE">
            <w:pPr>
              <w:pBdr>
                <w:top w:color="000000" w:space="0" w:sz="0" w:val="none"/>
                <w:left w:color="000000" w:space="0" w:sz="0" w:val="none"/>
                <w:bottom w:color="000000" w:space="0" w:sz="0" w:val="none"/>
                <w:right w:color="000000" w:space="0" w:sz="0" w:val="none"/>
                <w:between w:color="000000" w:space="0" w:sz="0" w:val="none"/>
              </w:pBd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Subresponsabili del trattamento </w:t>
            </w:r>
          </w:p>
        </w:tc>
        <w:tc>
          <w:tcPr>
            <w:tcBorders>
              <w:top w:color="000000" w:space="0" w:sz="0" w:val="nil"/>
              <w:left w:color="000000" w:space="0" w:sz="0" w:val="nil"/>
              <w:bottom w:color="000000" w:space="0" w:sz="8" w:val="single"/>
              <w:right w:color="000000" w:space="0" w:sz="8" w:val="single"/>
            </w:tcBorders>
            <w:shd w:fill="ffffff" w:val="clear"/>
            <w:vAlign w:val="center"/>
          </w:tcPr>
          <w:p w:rsidR="00000000" w:rsidDel="00000000" w:rsidP="00000000" w:rsidRDefault="00000000" w:rsidRPr="00000000" w14:paraId="000000BF">
            <w:pPr>
              <w:pBdr>
                <w:top w:color="000000" w:space="0" w:sz="0" w:val="none"/>
                <w:left w:color="000000" w:space="0" w:sz="0" w:val="none"/>
                <w:bottom w:color="000000" w:space="0" w:sz="0" w:val="none"/>
                <w:right w:color="000000" w:space="0" w:sz="0" w:val="none"/>
                <w:between w:color="000000" w:space="0" w:sz="0" w:val="none"/>
              </w:pBd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L’eventuale ricorso a fornitori specializzati che rivestono il ruolo di subresponsabili avviene nel pieno rispetto di quanto previsto nella presente nomina.</w:t>
            </w:r>
          </w:p>
        </w:tc>
      </w:tr>
      <w:tr>
        <w:trPr>
          <w:cantSplit w:val="0"/>
          <w:trHeight w:val="20" w:hRule="atLeast"/>
          <w:tblHeader w:val="0"/>
        </w:trPr>
        <w:tc>
          <w:tcPr>
            <w:tcBorders>
              <w:top w:color="000000" w:space="0" w:sz="0" w:val="nil"/>
              <w:left w:color="000000" w:space="0" w:sz="8" w:val="single"/>
              <w:bottom w:color="000000" w:space="0" w:sz="8" w:val="single"/>
              <w:right w:color="000000" w:space="0" w:sz="8" w:val="single"/>
            </w:tcBorders>
            <w:shd w:fill="ffffff" w:val="clear"/>
            <w:vAlign w:val="center"/>
          </w:tcPr>
          <w:p w:rsidR="00000000" w:rsidDel="00000000" w:rsidP="00000000" w:rsidRDefault="00000000" w:rsidRPr="00000000" w14:paraId="000000C0">
            <w:pPr>
              <w:pBdr>
                <w:top w:color="000000" w:space="0" w:sz="0" w:val="none"/>
                <w:left w:color="000000" w:space="0" w:sz="0" w:val="none"/>
                <w:bottom w:color="000000" w:space="0" w:sz="0" w:val="none"/>
                <w:right w:color="000000" w:space="0" w:sz="0" w:val="none"/>
                <w:between w:color="000000" w:space="0" w:sz="0" w:val="none"/>
              </w:pBd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Gestione degli incidenti / Violazione dei dati personali </w:t>
            </w:r>
          </w:p>
        </w:tc>
        <w:tc>
          <w:tcPr>
            <w:tcBorders>
              <w:top w:color="000000" w:space="0" w:sz="0" w:val="nil"/>
              <w:left w:color="000000" w:space="0" w:sz="0" w:val="nil"/>
              <w:bottom w:color="000000" w:space="0" w:sz="8" w:val="single"/>
              <w:right w:color="000000" w:space="0" w:sz="8" w:val="single"/>
            </w:tcBorders>
            <w:shd w:fill="ffffff" w:val="clear"/>
            <w:vAlign w:val="center"/>
          </w:tcPr>
          <w:p w:rsidR="00000000" w:rsidDel="00000000" w:rsidP="00000000" w:rsidRDefault="00000000" w:rsidRPr="00000000" w14:paraId="000000C1">
            <w:pPr>
              <w:pBdr>
                <w:top w:color="000000" w:space="0" w:sz="0" w:val="none"/>
                <w:left w:color="000000" w:space="0" w:sz="0" w:val="none"/>
                <w:bottom w:color="000000" w:space="0" w:sz="0" w:val="none"/>
                <w:right w:color="000000" w:space="0" w:sz="0" w:val="none"/>
                <w:between w:color="000000" w:space="0" w:sz="0" w:val="none"/>
              </w:pBd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Le violazioni dei dati personali (come definite dall’art. 4 del GDPR) sono gestite attraverso apposita procedura interna che rispetta gli art. 33 e 34 GDPR. </w:t>
            </w:r>
          </w:p>
        </w:tc>
      </w:tr>
      <w:tr>
        <w:trPr>
          <w:cantSplit w:val="0"/>
          <w:trHeight w:val="276" w:hRule="atLeast"/>
          <w:tblHeader w:val="0"/>
        </w:trPr>
        <w:tc>
          <w:tcPr>
            <w:vMerge w:val="restart"/>
            <w:tcBorders>
              <w:top w:color="000000" w:space="0" w:sz="0" w:val="nil"/>
              <w:left w:color="000000" w:space="0" w:sz="8" w:val="single"/>
              <w:bottom w:color="000000" w:space="0" w:sz="8" w:val="single"/>
              <w:right w:color="000000" w:space="0" w:sz="8" w:val="single"/>
            </w:tcBorders>
            <w:shd w:fill="ffffff" w:val="clear"/>
            <w:vAlign w:val="center"/>
          </w:tcPr>
          <w:p w:rsidR="00000000" w:rsidDel="00000000" w:rsidP="00000000" w:rsidRDefault="00000000" w:rsidRPr="00000000" w14:paraId="000000C2">
            <w:pPr>
              <w:pBdr>
                <w:top w:color="000000" w:space="0" w:sz="0" w:val="none"/>
                <w:left w:color="000000" w:space="0" w:sz="0" w:val="none"/>
                <w:bottom w:color="000000" w:space="0" w:sz="0" w:val="none"/>
                <w:right w:color="000000" w:space="0" w:sz="0" w:val="none"/>
                <w:between w:color="000000" w:space="0" w:sz="0" w:val="none"/>
              </w:pBd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Business continuity </w:t>
            </w:r>
          </w:p>
        </w:tc>
        <w:tc>
          <w:tcPr>
            <w:vMerge w:val="restart"/>
            <w:tcBorders>
              <w:top w:color="000000" w:space="0" w:sz="0" w:val="nil"/>
              <w:left w:color="000000" w:space="0" w:sz="8" w:val="single"/>
              <w:bottom w:color="000000" w:space="0" w:sz="8" w:val="single"/>
              <w:right w:color="000000" w:space="0" w:sz="8" w:val="single"/>
            </w:tcBorders>
            <w:shd w:fill="ffffff" w:val="clear"/>
            <w:vAlign w:val="center"/>
          </w:tcPr>
          <w:p w:rsidR="00000000" w:rsidDel="00000000" w:rsidP="00000000" w:rsidRDefault="00000000" w:rsidRPr="00000000" w14:paraId="000000C3">
            <w:pPr>
              <w:pBdr>
                <w:top w:color="000000" w:space="0" w:sz="0" w:val="none"/>
                <w:left w:color="000000" w:space="0" w:sz="0" w:val="none"/>
                <w:bottom w:color="000000" w:space="0" w:sz="0" w:val="none"/>
                <w:right w:color="000000" w:space="0" w:sz="0" w:val="none"/>
                <w:between w:color="000000" w:space="0" w:sz="0" w:val="none"/>
              </w:pBd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L'organizzazione ha adottato una serie di soluzioni e prassi operative a garanzia del necessario livello di continuità e disponibilità del sistema IT mediante il quale si procede al trattamento dei dati personali (in caso di incidente / violazione di dati personali). </w:t>
            </w:r>
          </w:p>
        </w:tc>
      </w:tr>
      <w:tr>
        <w:trPr>
          <w:cantSplit w:val="0"/>
          <w:trHeight w:val="20" w:hRule="atLeast"/>
          <w:tblHeader w:val="0"/>
        </w:trPr>
        <w:tc>
          <w:tcPr>
            <w:vMerge w:val="continue"/>
            <w:tcBorders>
              <w:top w:color="000000" w:space="0" w:sz="0" w:val="nil"/>
              <w:left w:color="000000" w:space="0" w:sz="8" w:val="single"/>
              <w:bottom w:color="000000" w:space="0" w:sz="8" w:val="single"/>
              <w:right w:color="000000" w:space="0" w:sz="8" w:val="single"/>
            </w:tcBorders>
            <w:shd w:fill="ffffff" w:val="clear"/>
            <w:vAlign w:val="center"/>
          </w:tcPr>
          <w:p w:rsidR="00000000" w:rsidDel="00000000" w:rsidP="00000000" w:rsidRDefault="00000000" w:rsidRPr="00000000" w14:paraId="000000C4">
            <w:pPr>
              <w:widowControl w:val="0"/>
              <w:spacing w:after="60" w:before="60" w:line="360" w:lineRule="auto"/>
              <w:rPr>
                <w:rFonts w:ascii="Georgia" w:cs="Georgia" w:eastAsia="Georgia" w:hAnsi="Georgia"/>
                <w:sz w:val="24"/>
                <w:szCs w:val="24"/>
              </w:rPr>
            </w:pPr>
            <w:r w:rsidDel="00000000" w:rsidR="00000000" w:rsidRPr="00000000">
              <w:rPr>
                <w:rtl w:val="0"/>
              </w:rPr>
            </w:r>
          </w:p>
        </w:tc>
        <w:tc>
          <w:tcPr>
            <w:vMerge w:val="continue"/>
            <w:tcBorders>
              <w:top w:color="000000" w:space="0" w:sz="0" w:val="nil"/>
              <w:left w:color="000000" w:space="0" w:sz="8" w:val="single"/>
              <w:bottom w:color="000000" w:space="0" w:sz="8" w:val="single"/>
              <w:right w:color="000000" w:space="0" w:sz="8" w:val="single"/>
            </w:tcBorders>
            <w:shd w:fill="ffffff" w:val="clear"/>
            <w:vAlign w:val="center"/>
          </w:tcPr>
          <w:p w:rsidR="00000000" w:rsidDel="00000000" w:rsidP="00000000" w:rsidRDefault="00000000" w:rsidRPr="00000000" w14:paraId="000000C5">
            <w:pPr>
              <w:widowControl w:val="0"/>
              <w:spacing w:after="60" w:before="60" w:line="360" w:lineRule="auto"/>
              <w:rPr>
                <w:rFonts w:ascii="Georgia" w:cs="Georgia" w:eastAsia="Georgia" w:hAnsi="Georgia"/>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bottom"/>
          </w:tcPr>
          <w:p w:rsidR="00000000" w:rsidDel="00000000" w:rsidP="00000000" w:rsidRDefault="00000000" w:rsidRPr="00000000" w14:paraId="000000C6">
            <w:pPr>
              <w:pBdr>
                <w:top w:color="000000" w:space="0" w:sz="0" w:val="none"/>
                <w:left w:color="000000" w:space="0" w:sz="0" w:val="none"/>
                <w:bottom w:color="000000" w:space="0" w:sz="0" w:val="none"/>
                <w:right w:color="000000" w:space="0" w:sz="0" w:val="none"/>
                <w:between w:color="000000" w:space="0" w:sz="0" w:val="none"/>
              </w:pBdr>
              <w:spacing w:after="60" w:before="60" w:line="360" w:lineRule="auto"/>
              <w:jc w:val="both"/>
              <w:rPr>
                <w:rFonts w:ascii="Georgia" w:cs="Georgia" w:eastAsia="Georgia" w:hAnsi="Georgia"/>
                <w:sz w:val="24"/>
                <w:szCs w:val="24"/>
              </w:rPr>
            </w:pPr>
            <w:r w:rsidDel="00000000" w:rsidR="00000000" w:rsidRPr="00000000">
              <w:rPr>
                <w:rtl w:val="0"/>
              </w:rPr>
            </w:r>
          </w:p>
        </w:tc>
      </w:tr>
      <w:tr>
        <w:trPr>
          <w:cantSplit w:val="0"/>
          <w:trHeight w:val="20" w:hRule="atLeast"/>
          <w:tblHeader w:val="0"/>
        </w:trPr>
        <w:tc>
          <w:tcPr>
            <w:vMerge w:val="continue"/>
            <w:tcBorders>
              <w:top w:color="000000" w:space="0" w:sz="0" w:val="nil"/>
              <w:left w:color="000000" w:space="0" w:sz="8" w:val="single"/>
              <w:bottom w:color="000000" w:space="0" w:sz="8" w:val="single"/>
              <w:right w:color="000000" w:space="0" w:sz="8" w:val="single"/>
            </w:tcBorders>
            <w:shd w:fill="ffffff" w:val="clear"/>
            <w:vAlign w:val="center"/>
          </w:tcPr>
          <w:p w:rsidR="00000000" w:rsidDel="00000000" w:rsidP="00000000" w:rsidRDefault="00000000" w:rsidRPr="00000000" w14:paraId="000000C7">
            <w:pPr>
              <w:widowControl w:val="0"/>
              <w:spacing w:after="60" w:before="60" w:line="360" w:lineRule="auto"/>
              <w:rPr>
                <w:rFonts w:ascii="Georgia" w:cs="Georgia" w:eastAsia="Georgia" w:hAnsi="Georgia"/>
                <w:sz w:val="24"/>
                <w:szCs w:val="24"/>
              </w:rPr>
            </w:pPr>
            <w:r w:rsidDel="00000000" w:rsidR="00000000" w:rsidRPr="00000000">
              <w:rPr>
                <w:rtl w:val="0"/>
              </w:rPr>
            </w:r>
          </w:p>
        </w:tc>
        <w:tc>
          <w:tcPr>
            <w:vMerge w:val="continue"/>
            <w:tcBorders>
              <w:top w:color="000000" w:space="0" w:sz="0" w:val="nil"/>
              <w:left w:color="000000" w:space="0" w:sz="8" w:val="single"/>
              <w:bottom w:color="000000" w:space="0" w:sz="8" w:val="single"/>
              <w:right w:color="000000" w:space="0" w:sz="8" w:val="single"/>
            </w:tcBorders>
            <w:shd w:fill="ffffff" w:val="clear"/>
            <w:vAlign w:val="center"/>
          </w:tcPr>
          <w:p w:rsidR="00000000" w:rsidDel="00000000" w:rsidP="00000000" w:rsidRDefault="00000000" w:rsidRPr="00000000" w14:paraId="000000C8">
            <w:pPr>
              <w:widowControl w:val="0"/>
              <w:spacing w:after="60" w:before="60" w:line="360" w:lineRule="auto"/>
              <w:rPr>
                <w:rFonts w:ascii="Georgia" w:cs="Georgia" w:eastAsia="Georgia" w:hAnsi="Georgia"/>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bottom"/>
          </w:tcPr>
          <w:p w:rsidR="00000000" w:rsidDel="00000000" w:rsidP="00000000" w:rsidRDefault="00000000" w:rsidRPr="00000000" w14:paraId="000000C9">
            <w:pPr>
              <w:pBdr>
                <w:top w:color="000000" w:space="0" w:sz="0" w:val="none"/>
                <w:left w:color="000000" w:space="0" w:sz="0" w:val="none"/>
                <w:bottom w:color="000000" w:space="0" w:sz="0" w:val="none"/>
                <w:right w:color="000000" w:space="0" w:sz="0" w:val="none"/>
                <w:between w:color="000000" w:space="0" w:sz="0" w:val="none"/>
              </w:pBdr>
              <w:spacing w:after="60" w:before="60" w:line="360" w:lineRule="auto"/>
              <w:jc w:val="both"/>
              <w:rPr>
                <w:rFonts w:ascii="Georgia" w:cs="Georgia" w:eastAsia="Georgia" w:hAnsi="Georgia"/>
                <w:sz w:val="24"/>
                <w:szCs w:val="24"/>
              </w:rPr>
            </w:pPr>
            <w:r w:rsidDel="00000000" w:rsidR="00000000" w:rsidRPr="00000000">
              <w:rPr>
                <w:rtl w:val="0"/>
              </w:rPr>
            </w:r>
          </w:p>
        </w:tc>
      </w:tr>
      <w:tr>
        <w:trPr>
          <w:cantSplit w:val="0"/>
          <w:trHeight w:val="20" w:hRule="atLeast"/>
          <w:tblHeader w:val="0"/>
        </w:trPr>
        <w:tc>
          <w:tcPr>
            <w:tcBorders>
              <w:top w:color="000000" w:space="0" w:sz="0" w:val="nil"/>
              <w:left w:color="000000" w:space="0" w:sz="8" w:val="single"/>
              <w:bottom w:color="000000" w:space="0" w:sz="8" w:val="single"/>
              <w:right w:color="000000" w:space="0" w:sz="8" w:val="single"/>
            </w:tcBorders>
            <w:shd w:fill="ffffff" w:val="clear"/>
            <w:vAlign w:val="center"/>
          </w:tcPr>
          <w:p w:rsidR="00000000" w:rsidDel="00000000" w:rsidP="00000000" w:rsidRDefault="00000000" w:rsidRPr="00000000" w14:paraId="000000CA">
            <w:pPr>
              <w:pBdr>
                <w:top w:color="000000" w:space="0" w:sz="0" w:val="none"/>
                <w:left w:color="000000" w:space="0" w:sz="0" w:val="none"/>
                <w:bottom w:color="000000" w:space="0" w:sz="0" w:val="none"/>
                <w:right w:color="000000" w:space="0" w:sz="0" w:val="none"/>
                <w:between w:color="000000" w:space="0" w:sz="0" w:val="none"/>
              </w:pBd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Obblighi di confidenzialità imposti al personale </w:t>
            </w:r>
          </w:p>
        </w:tc>
        <w:tc>
          <w:tcPr>
            <w:tcBorders>
              <w:top w:color="000000" w:space="0" w:sz="0" w:val="nil"/>
              <w:left w:color="000000" w:space="0" w:sz="0" w:val="nil"/>
              <w:bottom w:color="000000" w:space="0" w:sz="8" w:val="single"/>
              <w:right w:color="000000" w:space="0" w:sz="8" w:val="single"/>
            </w:tcBorders>
            <w:shd w:fill="ffffff" w:val="clear"/>
            <w:vAlign w:val="center"/>
          </w:tcPr>
          <w:p w:rsidR="00000000" w:rsidDel="00000000" w:rsidP="00000000" w:rsidRDefault="00000000" w:rsidRPr="00000000" w14:paraId="000000CB">
            <w:pPr>
              <w:pBdr>
                <w:top w:color="000000" w:space="0" w:sz="0" w:val="none"/>
                <w:left w:color="000000" w:space="0" w:sz="0" w:val="none"/>
                <w:bottom w:color="000000" w:space="0" w:sz="0" w:val="none"/>
                <w:right w:color="000000" w:space="0" w:sz="0" w:val="none"/>
                <w:between w:color="000000" w:space="0" w:sz="0" w:val="none"/>
              </w:pBd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Tutti i dipendenti, lavoratori e persone autorizzate al trattamento sono consapevoli degli obblighi di riservatezza sui dati personali oggetto del trattamento da essi svolto, chiaramente definiti ed assegnati attraversa specifica documentazione. </w:t>
            </w:r>
          </w:p>
        </w:tc>
        <w:tc>
          <w:tcPr>
            <w:shd w:fill="ffffff" w:val="clear"/>
            <w:vAlign w:val="center"/>
          </w:tcPr>
          <w:p w:rsidR="00000000" w:rsidDel="00000000" w:rsidP="00000000" w:rsidRDefault="00000000" w:rsidRPr="00000000" w14:paraId="000000CC">
            <w:pPr>
              <w:pBdr>
                <w:top w:color="000000" w:space="0" w:sz="0" w:val="none"/>
                <w:left w:color="000000" w:space="0" w:sz="0" w:val="none"/>
                <w:bottom w:color="000000" w:space="0" w:sz="0" w:val="none"/>
                <w:right w:color="000000" w:space="0" w:sz="0" w:val="none"/>
                <w:between w:color="000000" w:space="0" w:sz="0" w:val="none"/>
              </w:pBdr>
              <w:spacing w:after="60" w:before="60" w:line="360" w:lineRule="auto"/>
              <w:jc w:val="both"/>
              <w:rPr>
                <w:rFonts w:ascii="Georgia" w:cs="Georgia" w:eastAsia="Georgia" w:hAnsi="Georgia"/>
                <w:sz w:val="24"/>
                <w:szCs w:val="24"/>
              </w:rPr>
            </w:pPr>
            <w:r w:rsidDel="00000000" w:rsidR="00000000" w:rsidRPr="00000000">
              <w:rPr>
                <w:rtl w:val="0"/>
              </w:rPr>
            </w:r>
          </w:p>
        </w:tc>
      </w:tr>
      <w:tr>
        <w:trPr>
          <w:cantSplit w:val="0"/>
          <w:trHeight w:val="20" w:hRule="atLeast"/>
          <w:tblHeader w:val="0"/>
        </w:trPr>
        <w:tc>
          <w:tcPr>
            <w:tcBorders>
              <w:top w:color="000000" w:space="0" w:sz="0" w:val="nil"/>
              <w:left w:color="000000" w:space="0" w:sz="8" w:val="single"/>
              <w:bottom w:color="000000" w:space="0" w:sz="8" w:val="single"/>
              <w:right w:color="000000" w:space="0" w:sz="8" w:val="single"/>
            </w:tcBorders>
            <w:shd w:fill="ffffff" w:val="clear"/>
            <w:vAlign w:val="center"/>
          </w:tcPr>
          <w:p w:rsidR="00000000" w:rsidDel="00000000" w:rsidP="00000000" w:rsidRDefault="00000000" w:rsidRPr="00000000" w14:paraId="000000CD">
            <w:pPr>
              <w:pBdr>
                <w:top w:color="000000" w:space="0" w:sz="0" w:val="none"/>
                <w:left w:color="000000" w:space="0" w:sz="0" w:val="none"/>
                <w:bottom w:color="000000" w:space="0" w:sz="0" w:val="none"/>
                <w:right w:color="000000" w:space="0" w:sz="0" w:val="none"/>
                <w:between w:color="000000" w:space="0" w:sz="0" w:val="none"/>
              </w:pBd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Formazione </w:t>
            </w:r>
          </w:p>
        </w:tc>
        <w:tc>
          <w:tcPr>
            <w:tcBorders>
              <w:top w:color="000000" w:space="0" w:sz="0" w:val="nil"/>
              <w:left w:color="000000" w:space="0" w:sz="0" w:val="nil"/>
              <w:bottom w:color="000000" w:space="0" w:sz="8" w:val="single"/>
              <w:right w:color="000000" w:space="0" w:sz="8" w:val="single"/>
            </w:tcBorders>
            <w:shd w:fill="ffffff" w:val="clear"/>
            <w:vAlign w:val="center"/>
          </w:tcPr>
          <w:p w:rsidR="00000000" w:rsidDel="00000000" w:rsidP="00000000" w:rsidRDefault="00000000" w:rsidRPr="00000000" w14:paraId="000000CE">
            <w:pPr>
              <w:pBdr>
                <w:top w:color="000000" w:space="0" w:sz="0" w:val="none"/>
                <w:left w:color="000000" w:space="0" w:sz="0" w:val="none"/>
                <w:bottom w:color="000000" w:space="0" w:sz="0" w:val="none"/>
                <w:right w:color="000000" w:space="0" w:sz="0" w:val="none"/>
                <w:between w:color="000000" w:space="0" w:sz="0" w:val="none"/>
              </w:pBd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Garda Uno garantisce che tutti i dipendenti, lavoratori e persone autorizzate al trattamento sono adeguatamente formati e informati in merito ai requisiti e agli obblighi legali in materia di protezione dei dati e ai controlli di sicurezza del sistema informatico con il quale è effettuato il trattamento.</w:t>
            </w:r>
          </w:p>
        </w:tc>
        <w:tc>
          <w:tcPr>
            <w:shd w:fill="ffffff" w:val="clear"/>
            <w:vAlign w:val="center"/>
          </w:tcPr>
          <w:p w:rsidR="00000000" w:rsidDel="00000000" w:rsidP="00000000" w:rsidRDefault="00000000" w:rsidRPr="00000000" w14:paraId="000000CF">
            <w:pPr>
              <w:pBdr>
                <w:top w:color="000000" w:space="0" w:sz="0" w:val="none"/>
                <w:left w:color="000000" w:space="0" w:sz="0" w:val="none"/>
                <w:bottom w:color="000000" w:space="0" w:sz="0" w:val="none"/>
                <w:right w:color="000000" w:space="0" w:sz="0" w:val="none"/>
                <w:between w:color="000000" w:space="0" w:sz="0" w:val="none"/>
              </w:pBdr>
              <w:spacing w:after="60" w:before="60" w:line="360" w:lineRule="auto"/>
              <w:jc w:val="both"/>
              <w:rPr>
                <w:rFonts w:ascii="Georgia" w:cs="Georgia" w:eastAsia="Georgia" w:hAnsi="Georgia"/>
                <w:sz w:val="24"/>
                <w:szCs w:val="24"/>
              </w:rPr>
            </w:pPr>
            <w:r w:rsidDel="00000000" w:rsidR="00000000" w:rsidRPr="00000000">
              <w:rPr>
                <w:rtl w:val="0"/>
              </w:rPr>
            </w:r>
          </w:p>
        </w:tc>
      </w:tr>
      <w:tr>
        <w:trPr>
          <w:cantSplit w:val="0"/>
          <w:trHeight w:val="20" w:hRule="atLeast"/>
          <w:tblHeader w:val="0"/>
        </w:trPr>
        <w:tc>
          <w:tcPr>
            <w:tcBorders>
              <w:top w:color="000000" w:space="0" w:sz="0" w:val="nil"/>
              <w:left w:color="000000" w:space="0" w:sz="8" w:val="single"/>
              <w:bottom w:color="000000" w:space="0" w:sz="8" w:val="single"/>
              <w:right w:color="000000" w:space="0" w:sz="8" w:val="single"/>
            </w:tcBorders>
            <w:shd w:fill="ffffff" w:val="clear"/>
            <w:vAlign w:val="center"/>
          </w:tcPr>
          <w:p w:rsidR="00000000" w:rsidDel="00000000" w:rsidP="00000000" w:rsidRDefault="00000000" w:rsidRPr="00000000" w14:paraId="000000D0">
            <w:pPr>
              <w:pBdr>
                <w:top w:color="000000" w:space="0" w:sz="0" w:val="none"/>
                <w:left w:color="000000" w:space="0" w:sz="0" w:val="none"/>
                <w:bottom w:color="000000" w:space="0" w:sz="0" w:val="none"/>
                <w:right w:color="000000" w:space="0" w:sz="0" w:val="none"/>
                <w:between w:color="000000" w:space="0" w:sz="0" w:val="none"/>
              </w:pBd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Controllo degli accessi e autenticazione </w:t>
            </w:r>
          </w:p>
        </w:tc>
        <w:tc>
          <w:tcPr>
            <w:tcBorders>
              <w:top w:color="000000" w:space="0" w:sz="0" w:val="nil"/>
              <w:left w:color="000000" w:space="0" w:sz="0" w:val="nil"/>
              <w:bottom w:color="000000" w:space="0" w:sz="8" w:val="single"/>
              <w:right w:color="000000" w:space="0" w:sz="8" w:val="single"/>
            </w:tcBorders>
            <w:shd w:fill="ffffff" w:val="clear"/>
            <w:vAlign w:val="center"/>
          </w:tcPr>
          <w:p w:rsidR="00000000" w:rsidDel="00000000" w:rsidP="00000000" w:rsidRDefault="00000000" w:rsidRPr="00000000" w14:paraId="000000D1">
            <w:pPr>
              <w:pBdr>
                <w:top w:color="000000" w:space="0" w:sz="0" w:val="none"/>
                <w:left w:color="000000" w:space="0" w:sz="0" w:val="none"/>
                <w:bottom w:color="000000" w:space="0" w:sz="0" w:val="none"/>
                <w:right w:color="000000" w:space="0" w:sz="0" w:val="none"/>
                <w:between w:color="000000" w:space="0" w:sz="0" w:val="none"/>
              </w:pBd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tutti gli utenti che accedono al sistema IT sono state assegnate specifiche credenziali di accesso, individuali e non riassegnabili, configurate con adeguati criteri di robustezza e oggetto di periodica revisione.</w:t>
            </w:r>
          </w:p>
        </w:tc>
        <w:tc>
          <w:tcPr>
            <w:shd w:fill="ffffff" w:val="clear"/>
            <w:vAlign w:val="center"/>
          </w:tcPr>
          <w:p w:rsidR="00000000" w:rsidDel="00000000" w:rsidP="00000000" w:rsidRDefault="00000000" w:rsidRPr="00000000" w14:paraId="000000D2">
            <w:pPr>
              <w:pBdr>
                <w:top w:color="000000" w:space="0" w:sz="0" w:val="none"/>
                <w:left w:color="000000" w:space="0" w:sz="0" w:val="none"/>
                <w:bottom w:color="000000" w:space="0" w:sz="0" w:val="none"/>
                <w:right w:color="000000" w:space="0" w:sz="0" w:val="none"/>
                <w:between w:color="000000" w:space="0" w:sz="0" w:val="none"/>
              </w:pBdr>
              <w:spacing w:after="60" w:before="60" w:line="360" w:lineRule="auto"/>
              <w:jc w:val="both"/>
              <w:rPr>
                <w:rFonts w:ascii="Georgia" w:cs="Georgia" w:eastAsia="Georgia" w:hAnsi="Georgia"/>
                <w:sz w:val="24"/>
                <w:szCs w:val="24"/>
              </w:rPr>
            </w:pPr>
            <w:r w:rsidDel="00000000" w:rsidR="00000000" w:rsidRPr="00000000">
              <w:rPr>
                <w:rtl w:val="0"/>
              </w:rPr>
            </w:r>
          </w:p>
        </w:tc>
      </w:tr>
      <w:tr>
        <w:trPr>
          <w:cantSplit w:val="0"/>
          <w:trHeight w:val="20" w:hRule="atLeast"/>
          <w:tblHeader w:val="0"/>
        </w:trPr>
        <w:tc>
          <w:tcPr>
            <w:tcBorders>
              <w:top w:color="000000" w:space="0" w:sz="0" w:val="nil"/>
              <w:left w:color="000000" w:space="0" w:sz="8" w:val="single"/>
              <w:bottom w:color="000000" w:space="0" w:sz="8" w:val="single"/>
              <w:right w:color="000000" w:space="0" w:sz="8" w:val="single"/>
            </w:tcBorders>
            <w:shd w:fill="ffffff" w:val="clear"/>
            <w:vAlign w:val="center"/>
          </w:tcPr>
          <w:p w:rsidR="00000000" w:rsidDel="00000000" w:rsidP="00000000" w:rsidRDefault="00000000" w:rsidRPr="00000000" w14:paraId="000000D3">
            <w:pPr>
              <w:pBdr>
                <w:top w:color="000000" w:space="0" w:sz="0" w:val="none"/>
                <w:left w:color="000000" w:space="0" w:sz="0" w:val="none"/>
                <w:bottom w:color="000000" w:space="0" w:sz="0" w:val="none"/>
                <w:right w:color="000000" w:space="0" w:sz="0" w:val="none"/>
                <w:between w:color="000000" w:space="0" w:sz="0" w:val="none"/>
              </w:pBd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Generazione di file di log e monitoraggio</w:t>
            </w:r>
          </w:p>
        </w:tc>
        <w:tc>
          <w:tcPr>
            <w:tcBorders>
              <w:top w:color="000000" w:space="0" w:sz="0" w:val="nil"/>
              <w:left w:color="000000" w:space="0" w:sz="0" w:val="nil"/>
              <w:bottom w:color="000000" w:space="0" w:sz="8" w:val="single"/>
              <w:right w:color="000000" w:space="0" w:sz="8" w:val="single"/>
            </w:tcBorders>
            <w:shd w:fill="ffffff" w:val="clear"/>
            <w:vAlign w:val="center"/>
          </w:tcPr>
          <w:p w:rsidR="00000000" w:rsidDel="00000000" w:rsidP="00000000" w:rsidRDefault="00000000" w:rsidRPr="00000000" w14:paraId="000000D4">
            <w:pPr>
              <w:pBdr>
                <w:top w:color="000000" w:space="0" w:sz="0" w:val="none"/>
                <w:left w:color="000000" w:space="0" w:sz="0" w:val="none"/>
                <w:bottom w:color="000000" w:space="0" w:sz="0" w:val="none"/>
                <w:right w:color="000000" w:space="0" w:sz="0" w:val="none"/>
                <w:between w:color="000000" w:space="0" w:sz="0" w:val="none"/>
              </w:pBd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Sono generati file di log per ogni sistema / applicazione utilizzata per il trattamento dei dati personali. Essi includono tutti i tipi di accesso ai dati (visualizzazione, modifica, cancellazione) e sono protetti da manomissioni, alterazioni e accessi non autorizzati.</w:t>
            </w:r>
          </w:p>
        </w:tc>
        <w:tc>
          <w:tcPr>
            <w:shd w:fill="ffffff" w:val="clear"/>
            <w:vAlign w:val="center"/>
          </w:tcPr>
          <w:p w:rsidR="00000000" w:rsidDel="00000000" w:rsidP="00000000" w:rsidRDefault="00000000" w:rsidRPr="00000000" w14:paraId="000000D5">
            <w:pPr>
              <w:pBdr>
                <w:top w:color="000000" w:space="0" w:sz="0" w:val="none"/>
                <w:left w:color="000000" w:space="0" w:sz="0" w:val="none"/>
                <w:bottom w:color="000000" w:space="0" w:sz="0" w:val="none"/>
                <w:right w:color="000000" w:space="0" w:sz="0" w:val="none"/>
                <w:between w:color="000000" w:space="0" w:sz="0" w:val="none"/>
              </w:pBdr>
              <w:spacing w:after="60" w:before="60" w:line="360" w:lineRule="auto"/>
              <w:jc w:val="both"/>
              <w:rPr>
                <w:rFonts w:ascii="Georgia" w:cs="Georgia" w:eastAsia="Georgia" w:hAnsi="Georgia"/>
                <w:sz w:val="24"/>
                <w:szCs w:val="24"/>
                <w:highlight w:val="magenta"/>
              </w:rPr>
            </w:pPr>
            <w:r w:rsidDel="00000000" w:rsidR="00000000" w:rsidRPr="00000000">
              <w:rPr>
                <w:rtl w:val="0"/>
              </w:rPr>
            </w:r>
          </w:p>
        </w:tc>
      </w:tr>
      <w:tr>
        <w:trPr>
          <w:cantSplit w:val="0"/>
          <w:trHeight w:val="20" w:hRule="atLeast"/>
          <w:tblHeader w:val="0"/>
        </w:trPr>
        <w:tc>
          <w:tcPr>
            <w:tcBorders>
              <w:top w:color="000000" w:space="0" w:sz="0" w:val="nil"/>
              <w:left w:color="000000" w:space="0" w:sz="8" w:val="single"/>
              <w:bottom w:color="000000" w:space="0" w:sz="8" w:val="single"/>
              <w:right w:color="000000" w:space="0" w:sz="8" w:val="single"/>
            </w:tcBorders>
            <w:shd w:fill="ffffff" w:val="clear"/>
            <w:vAlign w:val="center"/>
          </w:tcPr>
          <w:p w:rsidR="00000000" w:rsidDel="00000000" w:rsidP="00000000" w:rsidRDefault="00000000" w:rsidRPr="00000000" w14:paraId="000000D6">
            <w:pPr>
              <w:pBdr>
                <w:top w:color="000000" w:space="0" w:sz="0" w:val="none"/>
                <w:left w:color="000000" w:space="0" w:sz="0" w:val="none"/>
                <w:bottom w:color="000000" w:space="0" w:sz="0" w:val="none"/>
                <w:right w:color="000000" w:space="0" w:sz="0" w:val="none"/>
                <w:between w:color="000000" w:space="0" w:sz="0" w:val="none"/>
              </w:pBd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Sicurezza di Server e Database  </w:t>
            </w:r>
          </w:p>
        </w:tc>
        <w:tc>
          <w:tcPr>
            <w:tcBorders>
              <w:top w:color="000000" w:space="0" w:sz="0" w:val="nil"/>
              <w:left w:color="000000" w:space="0" w:sz="0" w:val="nil"/>
              <w:bottom w:color="000000" w:space="0" w:sz="8" w:val="single"/>
              <w:right w:color="000000" w:space="0" w:sz="8" w:val="single"/>
            </w:tcBorders>
            <w:shd w:fill="ffffff" w:val="clear"/>
            <w:vAlign w:val="center"/>
          </w:tcPr>
          <w:p w:rsidR="00000000" w:rsidDel="00000000" w:rsidP="00000000" w:rsidRDefault="00000000" w:rsidRPr="00000000" w14:paraId="000000D7">
            <w:pPr>
              <w:pBdr>
                <w:top w:color="000000" w:space="0" w:sz="0" w:val="none"/>
                <w:left w:color="000000" w:space="0" w:sz="0" w:val="none"/>
                <w:bottom w:color="000000" w:space="0" w:sz="0" w:val="none"/>
                <w:right w:color="000000" w:space="0" w:sz="0" w:val="none"/>
                <w:between w:color="000000" w:space="0" w:sz="0" w:val="none"/>
              </w:pBd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server ove risiedono database e applicazioni sono configurati per essere operativi utilizzando un account separato, con i privilegi minimi del sistema operativo per funzionare correttamente. E trattano solo i dati personali che sono effettivamente necessari per il perseguimento delle finalità. (art. 5 GDPR)</w:t>
            </w:r>
          </w:p>
        </w:tc>
        <w:tc>
          <w:tcPr>
            <w:shd w:fill="ffffff" w:val="clear"/>
            <w:vAlign w:val="center"/>
          </w:tcPr>
          <w:p w:rsidR="00000000" w:rsidDel="00000000" w:rsidP="00000000" w:rsidRDefault="00000000" w:rsidRPr="00000000" w14:paraId="000000D8">
            <w:pPr>
              <w:pBdr>
                <w:top w:color="000000" w:space="0" w:sz="0" w:val="none"/>
                <w:left w:color="000000" w:space="0" w:sz="0" w:val="none"/>
                <w:bottom w:color="000000" w:space="0" w:sz="0" w:val="none"/>
                <w:right w:color="000000" w:space="0" w:sz="0" w:val="none"/>
                <w:between w:color="000000" w:space="0" w:sz="0" w:val="none"/>
              </w:pBdr>
              <w:spacing w:after="60" w:before="60" w:line="360" w:lineRule="auto"/>
              <w:jc w:val="both"/>
              <w:rPr>
                <w:rFonts w:ascii="Georgia" w:cs="Georgia" w:eastAsia="Georgia" w:hAnsi="Georgia"/>
                <w:sz w:val="24"/>
                <w:szCs w:val="24"/>
                <w:highlight w:val="yellow"/>
              </w:rPr>
            </w:pPr>
            <w:r w:rsidDel="00000000" w:rsidR="00000000" w:rsidRPr="00000000">
              <w:rPr>
                <w:rtl w:val="0"/>
              </w:rPr>
            </w:r>
          </w:p>
        </w:tc>
      </w:tr>
      <w:tr>
        <w:trPr>
          <w:cantSplit w:val="0"/>
          <w:trHeight w:val="20" w:hRule="atLeast"/>
          <w:tblHeader w:val="0"/>
        </w:trPr>
        <w:tc>
          <w:tcPr>
            <w:tcBorders>
              <w:top w:color="000000" w:space="0" w:sz="0" w:val="nil"/>
              <w:left w:color="000000" w:space="0" w:sz="8" w:val="single"/>
              <w:bottom w:color="000000" w:space="0" w:sz="8" w:val="single"/>
              <w:right w:color="000000" w:space="0" w:sz="8" w:val="single"/>
            </w:tcBorders>
            <w:shd w:fill="ffffff" w:val="clear"/>
            <w:vAlign w:val="center"/>
          </w:tcPr>
          <w:p w:rsidR="00000000" w:rsidDel="00000000" w:rsidP="00000000" w:rsidRDefault="00000000" w:rsidRPr="00000000" w14:paraId="000000D9">
            <w:pPr>
              <w:pBdr>
                <w:top w:color="000000" w:space="0" w:sz="0" w:val="none"/>
                <w:left w:color="000000" w:space="0" w:sz="0" w:val="none"/>
                <w:bottom w:color="000000" w:space="0" w:sz="0" w:val="none"/>
                <w:right w:color="000000" w:space="0" w:sz="0" w:val="none"/>
                <w:between w:color="000000" w:space="0" w:sz="0" w:val="none"/>
              </w:pBd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Sicurezza delle Postazioni di lavoro</w:t>
            </w:r>
          </w:p>
        </w:tc>
        <w:tc>
          <w:tcPr>
            <w:tcBorders>
              <w:top w:color="000000" w:space="0" w:sz="0" w:val="nil"/>
              <w:left w:color="000000" w:space="0" w:sz="0" w:val="nil"/>
              <w:bottom w:color="000000" w:space="0" w:sz="8" w:val="single"/>
              <w:right w:color="000000" w:space="0" w:sz="8" w:val="single"/>
            </w:tcBorders>
            <w:shd w:fill="ffffff" w:val="clear"/>
            <w:vAlign w:val="center"/>
          </w:tcPr>
          <w:p w:rsidR="00000000" w:rsidDel="00000000" w:rsidP="00000000" w:rsidRDefault="00000000" w:rsidRPr="00000000" w14:paraId="000000DA">
            <w:pPr>
              <w:pBdr>
                <w:top w:color="000000" w:space="0" w:sz="0" w:val="none"/>
                <w:left w:color="000000" w:space="0" w:sz="0" w:val="none"/>
                <w:bottom w:color="000000" w:space="0" w:sz="0" w:val="none"/>
                <w:right w:color="000000" w:space="0" w:sz="0" w:val="none"/>
                <w:between w:color="000000" w:space="0" w:sz="0" w:val="none"/>
              </w:pBd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Gli utenti non sono in grado di disattivare o bypassare le impostazioni di sicurezza e non hanno i privilegi per installare o disattivare applicazioni software non autorizzate.</w:t>
            </w:r>
          </w:p>
          <w:p w:rsidR="00000000" w:rsidDel="00000000" w:rsidP="00000000" w:rsidRDefault="00000000" w:rsidRPr="00000000" w14:paraId="000000DB">
            <w:pPr>
              <w:pBdr>
                <w:top w:color="000000" w:space="0" w:sz="0" w:val="none"/>
                <w:left w:color="000000" w:space="0" w:sz="0" w:val="none"/>
                <w:bottom w:color="000000" w:space="0" w:sz="0" w:val="none"/>
                <w:right w:color="000000" w:space="0" w:sz="0" w:val="none"/>
                <w:between w:color="000000" w:space="0" w:sz="0" w:val="none"/>
              </w:pBd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Le applicazioni antivirus e le firme di rilevamento sono aggiornate almeno quotidianamente e non possono essere disattivate dagli utenti. Sulle postazioni di lavoro è abilitato un timeout di sessione</w:t>
            </w:r>
          </w:p>
        </w:tc>
        <w:tc>
          <w:tcPr>
            <w:shd w:fill="ffffff" w:val="clear"/>
            <w:vAlign w:val="center"/>
          </w:tcPr>
          <w:p w:rsidR="00000000" w:rsidDel="00000000" w:rsidP="00000000" w:rsidRDefault="00000000" w:rsidRPr="00000000" w14:paraId="000000DC">
            <w:pPr>
              <w:pBdr>
                <w:top w:color="000000" w:space="0" w:sz="0" w:val="none"/>
                <w:left w:color="000000" w:space="0" w:sz="0" w:val="none"/>
                <w:bottom w:color="000000" w:space="0" w:sz="0" w:val="none"/>
                <w:right w:color="000000" w:space="0" w:sz="0" w:val="none"/>
                <w:between w:color="000000" w:space="0" w:sz="0" w:val="none"/>
              </w:pBdr>
              <w:spacing w:after="60" w:before="60" w:line="360" w:lineRule="auto"/>
              <w:jc w:val="both"/>
              <w:rPr>
                <w:rFonts w:ascii="Georgia" w:cs="Georgia" w:eastAsia="Georgia" w:hAnsi="Georgia"/>
                <w:sz w:val="24"/>
                <w:szCs w:val="24"/>
                <w:highlight w:val="magenta"/>
              </w:rPr>
            </w:pPr>
            <w:r w:rsidDel="00000000" w:rsidR="00000000" w:rsidRPr="00000000">
              <w:rPr>
                <w:rtl w:val="0"/>
              </w:rPr>
            </w:r>
          </w:p>
        </w:tc>
      </w:tr>
    </w:tbl>
    <w:p w:rsidR="00000000" w:rsidDel="00000000" w:rsidP="00000000" w:rsidRDefault="00000000" w:rsidRPr="00000000" w14:paraId="000000DD">
      <w:pPr>
        <w:spacing w:after="60" w:before="60" w:line="360" w:lineRule="auto"/>
        <w:jc w:val="both"/>
        <w:rPr>
          <w:rFonts w:ascii="Georgia" w:cs="Georgia" w:eastAsia="Georgia" w:hAnsi="Georgia"/>
          <w:sz w:val="24"/>
          <w:szCs w:val="24"/>
          <w:highlight w:val="magenta"/>
        </w:rPr>
      </w:pPr>
      <w:r w:rsidDel="00000000" w:rsidR="00000000" w:rsidRPr="00000000">
        <w:rPr>
          <w:rtl w:val="0"/>
        </w:rPr>
      </w:r>
    </w:p>
    <w:p w:rsidR="00000000" w:rsidDel="00000000" w:rsidP="00000000" w:rsidRDefault="00000000" w:rsidRPr="00000000" w14:paraId="000000DE">
      <w:pPr>
        <w:spacing w:after="60" w:before="60" w:line="360" w:lineRule="auto"/>
        <w:jc w:val="both"/>
        <w:rPr>
          <w:rFonts w:ascii="Georgia" w:cs="Georgia" w:eastAsia="Georgia" w:hAnsi="Georgia"/>
          <w:i w:val="1"/>
          <w:iCs w:val="1"/>
          <w:sz w:val="24"/>
          <w:szCs w:val="24"/>
        </w:rPr>
      </w:pPr>
      <w:r w:rsidDel="00000000" w:rsidR="00000000" w:rsidRPr="00000000">
        <w:rPr>
          <w:rtl w:val="0"/>
        </w:rPr>
      </w:r>
    </w:p>
    <w:p w:rsidR="00000000" w:rsidDel="00000000" w:rsidP="00000000" w:rsidRDefault="00000000" w:rsidRPr="00000000" w14:paraId="000000DF">
      <w:pPr>
        <w:spacing w:after="60" w:before="60" w:line="360" w:lineRule="auto"/>
        <w:jc w:val="both"/>
        <w:rPr>
          <w:rFonts w:ascii="Georgia" w:cs="Georgia" w:eastAsia="Georgia" w:hAnsi="Georgia"/>
          <w:i w:val="1"/>
          <w:iCs w:val="1"/>
          <w:sz w:val="24"/>
          <w:szCs w:val="24"/>
        </w:rPr>
      </w:pPr>
      <w:r w:rsidDel="00000000" w:rsidR="00000000" w:rsidRPr="00000000">
        <w:rPr>
          <w:rtl w:val="0"/>
        </w:rPr>
      </w:r>
    </w:p>
    <w:p w:rsidR="00000000" w:rsidDel="00000000" w:rsidP="00000000" w:rsidRDefault="00000000" w:rsidRPr="00000000" w14:paraId="000000E0">
      <w:pPr>
        <w:spacing w:after="60" w:before="60" w:line="360" w:lineRule="auto"/>
        <w:jc w:val="both"/>
        <w:rPr>
          <w:rFonts w:ascii="Georgia" w:cs="Georgia" w:eastAsia="Georgia" w:hAnsi="Georgia"/>
          <w:i w:val="1"/>
          <w:iCs w:val="1"/>
          <w:sz w:val="24"/>
          <w:szCs w:val="24"/>
        </w:rPr>
      </w:pPr>
      <w:r w:rsidDel="00000000" w:rsidR="00000000" w:rsidRPr="00000000">
        <w:rPr>
          <w:rtl w:val="0"/>
        </w:rPr>
      </w:r>
    </w:p>
    <w:p w:rsidR="00000000" w:rsidDel="00000000" w:rsidP="00000000" w:rsidRDefault="00000000" w:rsidRPr="00000000" w14:paraId="000000E1">
      <w:pPr>
        <w:spacing w:after="60" w:before="60" w:line="360" w:lineRule="auto"/>
        <w:jc w:val="both"/>
        <w:rPr>
          <w:rFonts w:ascii="Georgia" w:cs="Georgia" w:eastAsia="Georgia" w:hAnsi="Georgia"/>
          <w:i w:val="1"/>
          <w:iCs w:val="1"/>
          <w:sz w:val="24"/>
          <w:szCs w:val="24"/>
        </w:rPr>
      </w:pPr>
      <w:r w:rsidDel="00000000" w:rsidR="00000000" w:rsidRPr="00000000">
        <w:rPr>
          <w:rtl w:val="0"/>
        </w:rPr>
      </w:r>
    </w:p>
    <w:p w:rsidR="00000000" w:rsidDel="00000000" w:rsidP="00000000" w:rsidRDefault="00000000" w:rsidRPr="00000000" w14:paraId="000000E2">
      <w:pPr>
        <w:spacing w:after="60" w:before="60" w:line="360" w:lineRule="auto"/>
        <w:jc w:val="both"/>
        <w:rPr>
          <w:rFonts w:ascii="Georgia" w:cs="Georgia" w:eastAsia="Georgia" w:hAnsi="Georgia"/>
          <w:i w:val="1"/>
          <w:iCs w:val="1"/>
          <w:sz w:val="24"/>
          <w:szCs w:val="24"/>
        </w:rPr>
      </w:pPr>
      <w:r w:rsidDel="00000000" w:rsidR="00000000" w:rsidRPr="00000000">
        <w:rPr>
          <w:rtl w:val="0"/>
        </w:rPr>
      </w:r>
    </w:p>
    <w:p w:rsidR="00000000" w:rsidDel="00000000" w:rsidP="00000000" w:rsidRDefault="00000000" w:rsidRPr="00000000" w14:paraId="000000E3">
      <w:pPr>
        <w:spacing w:after="60" w:before="60" w:line="360" w:lineRule="auto"/>
        <w:jc w:val="both"/>
        <w:rPr>
          <w:rFonts w:ascii="Georgia" w:cs="Georgia" w:eastAsia="Georgia" w:hAnsi="Georgia"/>
          <w:i w:val="1"/>
          <w:iCs w:val="1"/>
          <w:sz w:val="24"/>
          <w:szCs w:val="24"/>
        </w:rPr>
      </w:pPr>
      <w:r w:rsidDel="00000000" w:rsidR="00000000" w:rsidRPr="00000000">
        <w:rPr>
          <w:rtl w:val="0"/>
        </w:rPr>
      </w:r>
    </w:p>
    <w:p w:rsidR="00000000" w:rsidDel="00000000" w:rsidP="00000000" w:rsidRDefault="00000000" w:rsidRPr="00000000" w14:paraId="000000E4">
      <w:pPr>
        <w:spacing w:after="60" w:before="60" w:line="360" w:lineRule="auto"/>
        <w:jc w:val="both"/>
        <w:rPr>
          <w:rFonts w:ascii="Georgia" w:cs="Georgia" w:eastAsia="Georgia" w:hAnsi="Georgia"/>
          <w:i w:val="1"/>
          <w:iCs w:val="1"/>
          <w:sz w:val="24"/>
          <w:szCs w:val="24"/>
        </w:rPr>
      </w:pPr>
      <w:r w:rsidDel="00000000" w:rsidR="00000000" w:rsidRPr="00000000">
        <w:rPr>
          <w:rtl w:val="0"/>
        </w:rPr>
      </w:r>
    </w:p>
    <w:p w:rsidR="00000000" w:rsidDel="00000000" w:rsidP="00000000" w:rsidRDefault="00000000" w:rsidRPr="00000000" w14:paraId="000000E5">
      <w:pPr>
        <w:spacing w:after="60" w:before="60" w:line="360" w:lineRule="auto"/>
        <w:jc w:val="both"/>
        <w:rPr>
          <w:rFonts w:ascii="Georgia" w:cs="Georgia" w:eastAsia="Georgia" w:hAnsi="Georgia"/>
          <w:i w:val="1"/>
          <w:iCs w:val="1"/>
          <w:sz w:val="24"/>
          <w:szCs w:val="24"/>
        </w:rPr>
      </w:pPr>
      <w:r w:rsidDel="00000000" w:rsidR="00000000" w:rsidRPr="00000000">
        <w:rPr>
          <w:rtl w:val="0"/>
        </w:rPr>
      </w:r>
    </w:p>
    <w:p w:rsidR="00000000" w:rsidDel="00000000" w:rsidP="00000000" w:rsidRDefault="00000000" w:rsidRPr="00000000" w14:paraId="000000E6">
      <w:pPr>
        <w:spacing w:after="60" w:before="60" w:line="360" w:lineRule="auto"/>
        <w:jc w:val="both"/>
        <w:rPr>
          <w:rFonts w:ascii="Georgia" w:cs="Georgia" w:eastAsia="Georgia" w:hAnsi="Georgia"/>
          <w:i w:val="1"/>
          <w:iCs w:val="1"/>
          <w:sz w:val="24"/>
          <w:szCs w:val="24"/>
        </w:rPr>
      </w:pPr>
      <w:r w:rsidDel="00000000" w:rsidR="00000000" w:rsidRPr="00000000">
        <w:rPr>
          <w:rtl w:val="0"/>
        </w:rPr>
      </w:r>
    </w:p>
    <w:p w:rsidR="00000000" w:rsidDel="00000000" w:rsidP="00000000" w:rsidRDefault="00000000" w:rsidRPr="00000000" w14:paraId="000000E7">
      <w:pPr>
        <w:spacing w:after="60" w:before="60" w:line="360" w:lineRule="auto"/>
        <w:jc w:val="both"/>
        <w:rPr>
          <w:rFonts w:ascii="Georgia" w:cs="Georgia" w:eastAsia="Georgia" w:hAnsi="Georgia"/>
          <w:i w:val="1"/>
          <w:iCs w:val="1"/>
          <w:sz w:val="24"/>
          <w:szCs w:val="24"/>
        </w:rPr>
      </w:pPr>
      <w:r w:rsidDel="00000000" w:rsidR="00000000" w:rsidRPr="00000000">
        <w:rPr>
          <w:rtl w:val="0"/>
        </w:rPr>
      </w:r>
    </w:p>
    <w:p w:rsidR="00000000" w:rsidDel="00000000" w:rsidP="00000000" w:rsidRDefault="00000000" w:rsidRPr="00000000" w14:paraId="000000E8">
      <w:pPr>
        <w:spacing w:after="60" w:before="60" w:line="360" w:lineRule="auto"/>
        <w:jc w:val="both"/>
        <w:rPr>
          <w:rFonts w:ascii="Georgia" w:cs="Georgia" w:eastAsia="Georgia" w:hAnsi="Georgia"/>
          <w:i w:val="1"/>
          <w:iCs w:val="1"/>
          <w:sz w:val="24"/>
          <w:szCs w:val="24"/>
        </w:rPr>
      </w:pPr>
      <w:r w:rsidDel="00000000" w:rsidR="00000000" w:rsidRPr="00000000">
        <w:rPr>
          <w:rtl w:val="0"/>
        </w:rPr>
      </w:r>
    </w:p>
    <w:p w:rsidR="00000000" w:rsidDel="00000000" w:rsidP="00000000" w:rsidRDefault="00000000" w:rsidRPr="00000000" w14:paraId="000000E9">
      <w:pPr>
        <w:spacing w:after="60" w:before="60" w:line="360" w:lineRule="auto"/>
        <w:jc w:val="both"/>
        <w:rPr>
          <w:rFonts w:ascii="Georgia" w:cs="Georgia" w:eastAsia="Georgia" w:hAnsi="Georgia"/>
          <w:i w:val="1"/>
          <w:iCs w:val="1"/>
          <w:sz w:val="24"/>
          <w:szCs w:val="24"/>
        </w:rPr>
      </w:pPr>
      <w:r w:rsidDel="00000000" w:rsidR="00000000" w:rsidRPr="00000000">
        <w:rPr>
          <w:rtl w:val="0"/>
        </w:rPr>
      </w:r>
    </w:p>
    <w:p w:rsidR="00000000" w:rsidDel="00000000" w:rsidP="00000000" w:rsidRDefault="00000000" w:rsidRPr="00000000" w14:paraId="000000EA">
      <w:pPr>
        <w:spacing w:after="60" w:before="60" w:line="360" w:lineRule="auto"/>
        <w:jc w:val="both"/>
        <w:rPr>
          <w:rFonts w:ascii="Georgia" w:cs="Georgia" w:eastAsia="Georgia" w:hAnsi="Georgia"/>
          <w:i w:val="1"/>
          <w:iCs w:val="1"/>
          <w:sz w:val="24"/>
          <w:szCs w:val="24"/>
        </w:rPr>
      </w:pPr>
      <w:r w:rsidDel="00000000" w:rsidR="00000000" w:rsidRPr="00000000">
        <w:rPr>
          <w:rtl w:val="0"/>
        </w:rPr>
      </w:r>
    </w:p>
    <w:p w:rsidR="00000000" w:rsidDel="00000000" w:rsidP="00000000" w:rsidRDefault="00000000" w:rsidRPr="00000000" w14:paraId="000000EB">
      <w:pPr>
        <w:spacing w:after="60" w:before="60" w:line="360" w:lineRule="auto"/>
        <w:jc w:val="both"/>
        <w:rPr>
          <w:rFonts w:ascii="Georgia" w:cs="Georgia" w:eastAsia="Georgia" w:hAnsi="Georgia"/>
          <w:i w:val="1"/>
          <w:iCs w:val="1"/>
          <w:sz w:val="24"/>
          <w:szCs w:val="24"/>
        </w:rPr>
      </w:pPr>
      <w:r w:rsidDel="00000000" w:rsidR="00000000" w:rsidRPr="00000000">
        <w:rPr>
          <w:rtl w:val="0"/>
        </w:rPr>
      </w:r>
    </w:p>
    <w:p w:rsidR="00000000" w:rsidDel="00000000" w:rsidP="00000000" w:rsidRDefault="00000000" w:rsidRPr="00000000" w14:paraId="000000EC">
      <w:pPr>
        <w:spacing w:after="60" w:before="60" w:line="360" w:lineRule="auto"/>
        <w:jc w:val="both"/>
        <w:rPr>
          <w:rFonts w:ascii="Georgia" w:cs="Georgia" w:eastAsia="Georgia" w:hAnsi="Georgia"/>
          <w:i w:val="1"/>
          <w:iCs w:val="1"/>
          <w:sz w:val="24"/>
          <w:szCs w:val="24"/>
        </w:rPr>
      </w:pPr>
      <w:r w:rsidDel="00000000" w:rsidR="00000000" w:rsidRPr="00000000">
        <w:rPr>
          <w:rtl w:val="0"/>
        </w:rPr>
      </w:r>
    </w:p>
    <w:p w:rsidR="00000000" w:rsidDel="00000000" w:rsidP="00000000" w:rsidRDefault="00000000" w:rsidRPr="00000000" w14:paraId="000000ED">
      <w:pPr>
        <w:spacing w:after="60" w:before="60" w:line="360" w:lineRule="auto"/>
        <w:jc w:val="both"/>
        <w:rPr>
          <w:rFonts w:ascii="Georgia" w:cs="Georgia" w:eastAsia="Georgia" w:hAnsi="Georgia"/>
          <w:i w:val="1"/>
          <w:iCs w:val="1"/>
          <w:sz w:val="24"/>
          <w:szCs w:val="24"/>
        </w:rPr>
      </w:pPr>
      <w:r w:rsidDel="00000000" w:rsidR="00000000" w:rsidRPr="00000000">
        <w:rPr>
          <w:rtl w:val="0"/>
        </w:rPr>
      </w:r>
    </w:p>
    <w:p w:rsidR="00000000" w:rsidDel="00000000" w:rsidP="00000000" w:rsidRDefault="00000000" w:rsidRPr="00000000" w14:paraId="000000EE">
      <w:pPr>
        <w:spacing w:after="60" w:before="60" w:line="360" w:lineRule="auto"/>
        <w:jc w:val="both"/>
        <w:rPr>
          <w:rFonts w:ascii="Georgia" w:cs="Georgia" w:eastAsia="Georgia" w:hAnsi="Georgia"/>
          <w:i w:val="1"/>
          <w:iCs w:val="1"/>
          <w:sz w:val="24"/>
          <w:szCs w:val="24"/>
        </w:rPr>
      </w:pPr>
      <w:r w:rsidDel="00000000" w:rsidR="00000000" w:rsidRPr="00000000">
        <w:rPr>
          <w:rtl w:val="0"/>
        </w:rPr>
      </w:r>
    </w:p>
    <w:p w:rsidR="00000000" w:rsidDel="00000000" w:rsidP="00000000" w:rsidRDefault="00000000" w:rsidRPr="00000000" w14:paraId="000000EF">
      <w:pP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i w:val="1"/>
          <w:iCs w:val="1"/>
          <w:sz w:val="24"/>
          <w:szCs w:val="24"/>
          <w:rtl w:val="0"/>
        </w:rPr>
        <w:t xml:space="preserve">ALLEGATO IV </w:t>
      </w:r>
      <w:r w:rsidDel="00000000" w:rsidR="00000000" w:rsidRPr="00000000">
        <w:rPr>
          <w:rtl w:val="0"/>
        </w:rPr>
      </w:r>
    </w:p>
    <w:p w:rsidR="00000000" w:rsidDel="00000000" w:rsidP="00000000" w:rsidRDefault="00000000" w:rsidRPr="00000000" w14:paraId="000000F0">
      <w:pP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b w:val="1"/>
          <w:bCs w:val="1"/>
          <w:sz w:val="24"/>
          <w:szCs w:val="24"/>
          <w:rtl w:val="0"/>
        </w:rPr>
        <w:t xml:space="preserve">Elenco dei sub-responsabili del trattamento </w:t>
      </w:r>
      <w:r w:rsidDel="00000000" w:rsidR="00000000" w:rsidRPr="00000000">
        <w:rPr>
          <w:rtl w:val="0"/>
        </w:rPr>
      </w:r>
    </w:p>
    <w:p w:rsidR="00000000" w:rsidDel="00000000" w:rsidP="00000000" w:rsidRDefault="00000000" w:rsidRPr="00000000" w14:paraId="000000F1">
      <w:pPr>
        <w:spacing w:after="60" w:before="60" w:line="360" w:lineRule="auto"/>
        <w:jc w:val="both"/>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F2">
      <w:pP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NOTA ESPLICATIVA:</w:t>
      </w:r>
    </w:p>
    <w:p w:rsidR="00000000" w:rsidDel="00000000" w:rsidP="00000000" w:rsidRDefault="00000000" w:rsidRPr="00000000" w14:paraId="000000F3">
      <w:pP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Il presente allegato deve essere compilato in caso di autorizzazione specifica di sub-responsabili del trattamento [clausola 7.7, lettera a), opzione 1].</w:t>
      </w:r>
    </w:p>
    <w:p w:rsidR="00000000" w:rsidDel="00000000" w:rsidP="00000000" w:rsidRDefault="00000000" w:rsidRPr="00000000" w14:paraId="000000F4">
      <w:pP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Il titolare del trattamento ha autorizzato il ricorso ai seguenti sub-responsabili del trattamento:</w:t>
      </w:r>
    </w:p>
    <w:p w:rsidR="00000000" w:rsidDel="00000000" w:rsidP="00000000" w:rsidRDefault="00000000" w:rsidRPr="00000000" w14:paraId="000000F5">
      <w:pPr>
        <w:spacing w:after="60" w:before="60" w:line="360" w:lineRule="auto"/>
        <w:jc w:val="both"/>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F6">
      <w:pPr>
        <w:spacing w:after="60" w:before="60" w:line="360" w:lineRule="auto"/>
        <w:jc w:val="both"/>
        <w:rPr>
          <w:rFonts w:ascii="Georgia" w:cs="Georgia" w:eastAsia="Georgia" w:hAnsi="Georgia"/>
          <w:i w:val="1"/>
          <w:iCs w:val="1"/>
          <w:sz w:val="24"/>
          <w:szCs w:val="24"/>
        </w:rPr>
      </w:pPr>
      <w:r w:rsidDel="00000000" w:rsidR="00000000" w:rsidRPr="00000000">
        <w:rPr>
          <w:rFonts w:ascii="Georgia" w:cs="Georgia" w:eastAsia="Georgia" w:hAnsi="Georgia"/>
          <w:i w:val="1"/>
          <w:iCs w:val="1"/>
          <w:sz w:val="24"/>
          <w:szCs w:val="24"/>
          <w:rtl w:val="0"/>
        </w:rPr>
        <w:t xml:space="preserve">Nome, qualifica e dati di contatto del referente: </w:t>
      </w:r>
    </w:p>
    <w:p w:rsidR="00000000" w:rsidDel="00000000" w:rsidP="00000000" w:rsidRDefault="00000000" w:rsidRPr="00000000" w14:paraId="000000F7">
      <w:pP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Ing. Matteo Modé, ufficio CER Garda Uno, indirizzo mail: </w:t>
      </w:r>
      <w:hyperlink r:id="rId7">
        <w:r w:rsidDel="00000000" w:rsidR="00000000" w:rsidRPr="00000000">
          <w:rPr>
            <w:rFonts w:ascii="Georgia" w:cs="Georgia" w:eastAsia="Georgia" w:hAnsi="Georgia"/>
            <w:sz w:val="24"/>
            <w:szCs w:val="24"/>
            <w:u w:val="single"/>
            <w:rtl w:val="0"/>
          </w:rPr>
          <w:t xml:space="preserve">cer2@gardauno.it</w:t>
        </w:r>
      </w:hyperlink>
      <w:r w:rsidDel="00000000" w:rsidR="00000000" w:rsidRPr="00000000">
        <w:rPr>
          <w:rFonts w:ascii="Georgia" w:cs="Georgia" w:eastAsia="Georgia" w:hAnsi="Georgia"/>
          <w:sz w:val="24"/>
          <w:szCs w:val="24"/>
          <w:rtl w:val="0"/>
        </w:rPr>
        <w:t xml:space="preserve">; </w:t>
      </w:r>
      <w:hyperlink r:id="rId8">
        <w:r w:rsidDel="00000000" w:rsidR="00000000" w:rsidRPr="00000000">
          <w:rPr>
            <w:rFonts w:ascii="Georgia" w:cs="Georgia" w:eastAsia="Georgia" w:hAnsi="Georgia"/>
            <w:sz w:val="24"/>
            <w:szCs w:val="24"/>
            <w:u w:val="single"/>
            <w:rtl w:val="0"/>
          </w:rPr>
          <w:t xml:space="preserve">infocer@gardauno.it</w:t>
        </w:r>
      </w:hyperlink>
      <w:r w:rsidDel="00000000" w:rsidR="00000000" w:rsidRPr="00000000">
        <w:rPr>
          <w:rFonts w:ascii="Georgia" w:cs="Georgia" w:eastAsia="Georgia" w:hAnsi="Georgia"/>
          <w:sz w:val="24"/>
          <w:szCs w:val="24"/>
          <w:rtl w:val="0"/>
        </w:rPr>
        <w:t xml:space="preserve"> </w:t>
      </w:r>
    </w:p>
    <w:p w:rsidR="00000000" w:rsidDel="00000000" w:rsidP="00000000" w:rsidRDefault="00000000" w:rsidRPr="00000000" w14:paraId="000000F8">
      <w:pPr>
        <w:spacing w:after="60" w:before="60" w:line="360" w:lineRule="auto"/>
        <w:jc w:val="both"/>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F9">
      <w:pPr>
        <w:spacing w:after="60" w:before="60" w:line="360" w:lineRule="auto"/>
        <w:jc w:val="both"/>
        <w:rPr>
          <w:rFonts w:ascii="Georgia" w:cs="Georgia" w:eastAsia="Georgia" w:hAnsi="Georgia"/>
          <w:i w:val="1"/>
          <w:iCs w:val="1"/>
          <w:sz w:val="24"/>
          <w:szCs w:val="24"/>
        </w:rPr>
      </w:pPr>
      <w:r w:rsidDel="00000000" w:rsidR="00000000" w:rsidRPr="00000000">
        <w:rPr>
          <w:rFonts w:ascii="Georgia" w:cs="Georgia" w:eastAsia="Georgia" w:hAnsi="Georgia"/>
          <w:i w:val="1"/>
          <w:iCs w:val="1"/>
          <w:sz w:val="24"/>
          <w:szCs w:val="24"/>
          <w:rtl w:val="0"/>
        </w:rPr>
        <w:t xml:space="preserve">Descrizione del trattamento</w:t>
      </w:r>
    </w:p>
    <w:p w:rsidR="00000000" w:rsidDel="00000000" w:rsidP="00000000" w:rsidRDefault="00000000" w:rsidRPr="00000000" w14:paraId="000000FA">
      <w:pPr>
        <w:spacing w:after="60" w:before="60"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Gestione delle attività operative connesse con il trattamento descritto nell’allegato II. </w:t>
      </w:r>
    </w:p>
    <w:p w:rsidR="00000000" w:rsidDel="00000000" w:rsidP="00000000" w:rsidRDefault="00000000" w:rsidRPr="00000000" w14:paraId="000000FB">
      <w:pPr>
        <w:spacing w:after="60" w:before="60" w:line="360" w:lineRule="auto"/>
        <w:jc w:val="both"/>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FC">
      <w:pPr>
        <w:spacing w:after="60" w:before="60" w:line="360" w:lineRule="auto"/>
        <w:jc w:val="both"/>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FD">
      <w:pPr>
        <w:spacing w:after="60" w:before="60" w:line="360" w:lineRule="auto"/>
        <w:ind w:left="0" w:firstLine="0"/>
        <w:jc w:val="left"/>
        <w:rPr>
          <w:rFonts w:ascii="Trebuchet MS" w:cs="Trebuchet MS" w:eastAsia="Trebuchet MS" w:hAnsi="Trebuchet MS"/>
          <w:sz w:val="24"/>
          <w:szCs w:val="24"/>
        </w:rPr>
      </w:pPr>
      <w:r w:rsidDel="00000000" w:rsidR="00000000" w:rsidRPr="00000000">
        <w:rPr>
          <w:rtl w:val="0"/>
        </w:rPr>
      </w:r>
    </w:p>
    <w:sectPr>
      <w:headerReference r:id="rId9" w:type="default"/>
      <w:footerReference r:id="rId10" w:type="default"/>
      <w:pgSz w:h="16834" w:w="11909" w:orient="portrait"/>
      <w:pgMar w:bottom="1440" w:top="1440" w:left="1440" w:right="1440" w:header="283.46456692913387" w:footer="283.46456692913387"/>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0">
    <w:pPr>
      <w:jc w:val="center"/>
      <w:rPr>
        <w:rFonts w:ascii="Georgia" w:cs="Georgia" w:eastAsia="Georgia" w:hAnsi="Georgia"/>
        <w:sz w:val="20"/>
        <w:szCs w:val="20"/>
      </w:rPr>
    </w:pPr>
    <w:r w:rsidDel="00000000" w:rsidR="00000000" w:rsidRPr="00000000">
      <w:rPr>
        <w:rFonts w:ascii="Georgia" w:cs="Georgia" w:eastAsia="Georgia" w:hAnsi="Georgia"/>
        <w:sz w:val="20"/>
        <w:szCs w:val="20"/>
        <w:rtl w:val="0"/>
      </w:rPr>
      <w:t xml:space="preserve">CER Bedizzole – Comunità Energetica Rinnovabile</w:t>
    </w:r>
  </w:p>
  <w:p w:rsidR="00000000" w:rsidDel="00000000" w:rsidP="00000000" w:rsidRDefault="00000000" w:rsidRPr="00000000" w14:paraId="00000101">
    <w:pPr>
      <w:jc w:val="center"/>
      <w:rPr>
        <w:rFonts w:ascii="Georgia" w:cs="Georgia" w:eastAsia="Georgia" w:hAnsi="Georgia"/>
        <w:sz w:val="20"/>
        <w:szCs w:val="20"/>
      </w:rPr>
    </w:pPr>
    <w:r w:rsidDel="00000000" w:rsidR="00000000" w:rsidRPr="00000000">
      <w:rPr>
        <w:rFonts w:ascii="Georgia" w:cs="Georgia" w:eastAsia="Georgia" w:hAnsi="Georgia"/>
        <w:sz w:val="20"/>
        <w:szCs w:val="20"/>
        <w:rtl w:val="0"/>
      </w:rPr>
      <w:t xml:space="preserve">Sede legale: Piazza Vittorio Emanuele II, 1 – 25081 Bedizzole (BS)</w:t>
      <w:br w:type="textWrapping"/>
      <w:t xml:space="preserve">Codice Fiscale: 94028390170</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E">
    <w:pPr>
      <w:spacing w:after="240" w:before="240" w:lineRule="auto"/>
      <w:jc w:val="center"/>
      <w:rPr>
        <w:rFonts w:ascii="Georgia" w:cs="Georgia" w:eastAsia="Georgia" w:hAnsi="Georgia"/>
        <w:sz w:val="24"/>
        <w:szCs w:val="24"/>
      </w:rPr>
    </w:pPr>
    <w:r w:rsidDel="00000000" w:rsidR="00000000" w:rsidRPr="00000000">
      <w:rPr>
        <w:rFonts w:ascii="Georgia" w:cs="Georgia" w:eastAsia="Georgia" w:hAnsi="Georgia"/>
        <w:b w:val="1"/>
        <w:bCs w:val="1"/>
        <w:sz w:val="24"/>
        <w:szCs w:val="24"/>
        <w:rtl w:val="0"/>
      </w:rPr>
      <w:t xml:space="preserve">COMUNITÀ ENERGETICA RINNOVABILE BEDIZZOLE</w:t>
      <w:br w:type="textWrapping"/>
    </w:r>
    <w:r w:rsidDel="00000000" w:rsidR="00000000" w:rsidRPr="00000000">
      <w:rPr>
        <w:rFonts w:ascii="Georgia" w:cs="Georgia" w:eastAsia="Georgia" w:hAnsi="Georgia"/>
        <w:sz w:val="24"/>
        <w:szCs w:val="24"/>
        <w:rtl w:val="0"/>
      </w:rPr>
      <w:t xml:space="preserve">Associazione senza scopo di lucro </w:t>
    </w:r>
  </w:p>
  <w:p w:rsidR="00000000" w:rsidDel="00000000" w:rsidP="00000000" w:rsidRDefault="00000000" w:rsidRPr="00000000" w14:paraId="000000FF">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
      <w:lvlJc w:val="left"/>
      <w:pPr>
        <w:ind w:left="0" w:firstLine="0"/>
      </w:pPr>
      <w:rPr>
        <w:u w:val="none"/>
      </w:rPr>
    </w:lvl>
    <w:lvl w:ilvl="1">
      <w:start w:val="0"/>
      <w:numFmt w:val="decimal"/>
      <w:lvlText w:val=""/>
      <w:lvlJc w:val="left"/>
      <w:pPr>
        <w:ind w:left="0" w:firstLine="0"/>
      </w:pPr>
      <w:rPr>
        <w:u w:val="none"/>
      </w:rPr>
    </w:lvl>
    <w:lvl w:ilvl="2">
      <w:start w:val="0"/>
      <w:numFmt w:val="decimal"/>
      <w:lvlText w:val=""/>
      <w:lvlJc w:val="left"/>
      <w:pPr>
        <w:ind w:left="0" w:firstLine="0"/>
      </w:pPr>
      <w:rPr>
        <w:u w:val="none"/>
      </w:rPr>
    </w:lvl>
    <w:lvl w:ilvl="3">
      <w:start w:val="0"/>
      <w:numFmt w:val="decimal"/>
      <w:lvlText w:val=""/>
      <w:lvlJc w:val="left"/>
      <w:pPr>
        <w:ind w:left="0" w:firstLine="0"/>
      </w:pPr>
      <w:rPr>
        <w:u w:val="none"/>
      </w:rPr>
    </w:lvl>
    <w:lvl w:ilvl="4">
      <w:start w:val="0"/>
      <w:numFmt w:val="decimal"/>
      <w:lvlText w:val=""/>
      <w:lvlJc w:val="left"/>
      <w:pPr>
        <w:ind w:left="0" w:firstLine="0"/>
      </w:pPr>
      <w:rPr>
        <w:u w:val="none"/>
      </w:rPr>
    </w:lvl>
    <w:lvl w:ilvl="5">
      <w:start w:val="0"/>
      <w:numFmt w:val="decimal"/>
      <w:lvlText w:val=""/>
      <w:lvlJc w:val="left"/>
      <w:pPr>
        <w:ind w:left="0" w:firstLine="0"/>
      </w:pPr>
      <w:rPr>
        <w:u w:val="none"/>
      </w:rPr>
    </w:lvl>
    <w:lvl w:ilvl="6">
      <w:start w:val="0"/>
      <w:numFmt w:val="decimal"/>
      <w:lvlText w:val=""/>
      <w:lvlJc w:val="left"/>
      <w:pPr>
        <w:ind w:left="0" w:firstLine="0"/>
      </w:pPr>
      <w:rPr>
        <w:u w:val="none"/>
      </w:rPr>
    </w:lvl>
    <w:lvl w:ilvl="7">
      <w:start w:val="0"/>
      <w:numFmt w:val="decimal"/>
      <w:lvlText w:val=""/>
      <w:lvlJc w:val="left"/>
      <w:pPr>
        <w:ind w:left="0" w:firstLine="0"/>
      </w:pPr>
      <w:rPr>
        <w:u w:val="none"/>
      </w:rPr>
    </w:lvl>
    <w:lvl w:ilvl="8">
      <w:start w:val="0"/>
      <w:numFmt w:val="decimal"/>
      <w:lvlText w:val=""/>
      <w:lvlJc w:val="left"/>
      <w:pPr>
        <w:ind w:left="0" w:firstLine="0"/>
      </w:pPr>
      <w:rPr>
        <w:u w:val="none"/>
      </w:rPr>
    </w:lvl>
  </w:abstractNum>
  <w:abstractNum w:abstractNumId="2">
    <w:lvl w:ilvl="0">
      <w:start w:val="1"/>
      <w:numFmt w:val="decimal"/>
      <w:lvlText w:val=""/>
      <w:lvlJc w:val="left"/>
      <w:pPr>
        <w:ind w:left="0" w:firstLine="0"/>
      </w:pPr>
      <w:rPr>
        <w:u w:val="none"/>
      </w:rPr>
    </w:lvl>
    <w:lvl w:ilvl="1">
      <w:start w:val="0"/>
      <w:numFmt w:val="decimal"/>
      <w:lvlText w:val=""/>
      <w:lvlJc w:val="left"/>
      <w:pPr>
        <w:ind w:left="0" w:firstLine="0"/>
      </w:pPr>
      <w:rPr>
        <w:u w:val="none"/>
      </w:rPr>
    </w:lvl>
    <w:lvl w:ilvl="2">
      <w:start w:val="0"/>
      <w:numFmt w:val="decimal"/>
      <w:lvlText w:val=""/>
      <w:lvlJc w:val="left"/>
      <w:pPr>
        <w:ind w:left="0" w:firstLine="0"/>
      </w:pPr>
      <w:rPr>
        <w:u w:val="none"/>
      </w:rPr>
    </w:lvl>
    <w:lvl w:ilvl="3">
      <w:start w:val="0"/>
      <w:numFmt w:val="decimal"/>
      <w:lvlText w:val=""/>
      <w:lvlJc w:val="left"/>
      <w:pPr>
        <w:ind w:left="0" w:firstLine="0"/>
      </w:pPr>
      <w:rPr>
        <w:u w:val="none"/>
      </w:rPr>
    </w:lvl>
    <w:lvl w:ilvl="4">
      <w:start w:val="0"/>
      <w:numFmt w:val="decimal"/>
      <w:lvlText w:val=""/>
      <w:lvlJc w:val="left"/>
      <w:pPr>
        <w:ind w:left="0" w:firstLine="0"/>
      </w:pPr>
      <w:rPr>
        <w:u w:val="none"/>
      </w:rPr>
    </w:lvl>
    <w:lvl w:ilvl="5">
      <w:start w:val="0"/>
      <w:numFmt w:val="decimal"/>
      <w:lvlText w:val=""/>
      <w:lvlJc w:val="left"/>
      <w:pPr>
        <w:ind w:left="0" w:firstLine="0"/>
      </w:pPr>
      <w:rPr>
        <w:u w:val="none"/>
      </w:rPr>
    </w:lvl>
    <w:lvl w:ilvl="6">
      <w:start w:val="0"/>
      <w:numFmt w:val="decimal"/>
      <w:lvlText w:val=""/>
      <w:lvlJc w:val="left"/>
      <w:pPr>
        <w:ind w:left="0" w:firstLine="0"/>
      </w:pPr>
      <w:rPr>
        <w:u w:val="none"/>
      </w:rPr>
    </w:lvl>
    <w:lvl w:ilvl="7">
      <w:start w:val="0"/>
      <w:numFmt w:val="decimal"/>
      <w:lvlText w:val=""/>
      <w:lvlJc w:val="left"/>
      <w:pPr>
        <w:ind w:left="0" w:firstLine="0"/>
      </w:pPr>
      <w:rPr>
        <w:u w:val="none"/>
      </w:rPr>
    </w:lvl>
    <w:lvl w:ilvl="8">
      <w:start w:val="0"/>
      <w:numFmt w:val="decimal"/>
      <w:lvlText w:val=""/>
      <w:lvlJc w:val="left"/>
      <w:pPr>
        <w:ind w:left="0" w:firstLine="0"/>
      </w:pPr>
      <w:rPr>
        <w:u w:val="none"/>
      </w:rPr>
    </w:lvl>
  </w:abstractNum>
  <w:abstractNum w:abstractNumId="3">
    <w:lvl w:ilvl="0">
      <w:start w:val="1"/>
      <w:numFmt w:val="decimal"/>
      <w:lvlText w:val=""/>
      <w:lvlJc w:val="left"/>
      <w:pPr>
        <w:ind w:left="0" w:firstLine="0"/>
      </w:pPr>
      <w:rPr>
        <w:u w:val="none"/>
      </w:rPr>
    </w:lvl>
    <w:lvl w:ilvl="1">
      <w:start w:val="0"/>
      <w:numFmt w:val="decimal"/>
      <w:lvlText w:val=""/>
      <w:lvlJc w:val="left"/>
      <w:pPr>
        <w:ind w:left="0" w:firstLine="0"/>
      </w:pPr>
      <w:rPr>
        <w:u w:val="none"/>
      </w:rPr>
    </w:lvl>
    <w:lvl w:ilvl="2">
      <w:start w:val="0"/>
      <w:numFmt w:val="decimal"/>
      <w:lvlText w:val=""/>
      <w:lvlJc w:val="left"/>
      <w:pPr>
        <w:ind w:left="0" w:firstLine="0"/>
      </w:pPr>
      <w:rPr>
        <w:u w:val="none"/>
      </w:rPr>
    </w:lvl>
    <w:lvl w:ilvl="3">
      <w:start w:val="0"/>
      <w:numFmt w:val="decimal"/>
      <w:lvlText w:val=""/>
      <w:lvlJc w:val="left"/>
      <w:pPr>
        <w:ind w:left="0" w:firstLine="0"/>
      </w:pPr>
      <w:rPr>
        <w:u w:val="none"/>
      </w:rPr>
    </w:lvl>
    <w:lvl w:ilvl="4">
      <w:start w:val="0"/>
      <w:numFmt w:val="decimal"/>
      <w:lvlText w:val=""/>
      <w:lvlJc w:val="left"/>
      <w:pPr>
        <w:ind w:left="0" w:firstLine="0"/>
      </w:pPr>
      <w:rPr>
        <w:u w:val="none"/>
      </w:rPr>
    </w:lvl>
    <w:lvl w:ilvl="5">
      <w:start w:val="0"/>
      <w:numFmt w:val="decimal"/>
      <w:lvlText w:val=""/>
      <w:lvlJc w:val="left"/>
      <w:pPr>
        <w:ind w:left="0" w:firstLine="0"/>
      </w:pPr>
      <w:rPr>
        <w:u w:val="none"/>
      </w:rPr>
    </w:lvl>
    <w:lvl w:ilvl="6">
      <w:start w:val="0"/>
      <w:numFmt w:val="decimal"/>
      <w:lvlText w:val=""/>
      <w:lvlJc w:val="left"/>
      <w:pPr>
        <w:ind w:left="0" w:firstLine="0"/>
      </w:pPr>
      <w:rPr>
        <w:u w:val="none"/>
      </w:rPr>
    </w:lvl>
    <w:lvl w:ilvl="7">
      <w:start w:val="0"/>
      <w:numFmt w:val="decimal"/>
      <w:lvlText w:val=""/>
      <w:lvlJc w:val="left"/>
      <w:pPr>
        <w:ind w:left="0" w:firstLine="0"/>
      </w:pPr>
      <w:rPr>
        <w:u w:val="none"/>
      </w:rPr>
    </w:lvl>
    <w:lvl w:ilvl="8">
      <w:start w:val="0"/>
      <w:numFmt w:val="decimal"/>
      <w:lvlText w:val=""/>
      <w:lvlJc w:val="left"/>
      <w:pPr>
        <w:ind w:left="0" w:firstLine="0"/>
      </w:pPr>
      <w:rPr>
        <w:u w:val="none"/>
      </w:rPr>
    </w:lvl>
  </w:abstractNum>
  <w:abstractNum w:abstractNumId="4">
    <w:lvl w:ilvl="0">
      <w:start w:val="1"/>
      <w:numFmt w:val="decimal"/>
      <w:lvlText w:val=""/>
      <w:lvlJc w:val="left"/>
      <w:pPr>
        <w:ind w:left="0" w:firstLine="0"/>
      </w:pPr>
      <w:rPr>
        <w:u w:val="none"/>
      </w:rPr>
    </w:lvl>
    <w:lvl w:ilvl="1">
      <w:start w:val="0"/>
      <w:numFmt w:val="decimal"/>
      <w:lvlText w:val=""/>
      <w:lvlJc w:val="left"/>
      <w:pPr>
        <w:ind w:left="0" w:firstLine="0"/>
      </w:pPr>
      <w:rPr>
        <w:u w:val="none"/>
      </w:rPr>
    </w:lvl>
    <w:lvl w:ilvl="2">
      <w:start w:val="0"/>
      <w:numFmt w:val="decimal"/>
      <w:lvlText w:val=""/>
      <w:lvlJc w:val="left"/>
      <w:pPr>
        <w:ind w:left="0" w:firstLine="0"/>
      </w:pPr>
      <w:rPr>
        <w:u w:val="none"/>
      </w:rPr>
    </w:lvl>
    <w:lvl w:ilvl="3">
      <w:start w:val="0"/>
      <w:numFmt w:val="decimal"/>
      <w:lvlText w:val=""/>
      <w:lvlJc w:val="left"/>
      <w:pPr>
        <w:ind w:left="0" w:firstLine="0"/>
      </w:pPr>
      <w:rPr>
        <w:u w:val="none"/>
      </w:rPr>
    </w:lvl>
    <w:lvl w:ilvl="4">
      <w:start w:val="0"/>
      <w:numFmt w:val="decimal"/>
      <w:lvlText w:val=""/>
      <w:lvlJc w:val="left"/>
      <w:pPr>
        <w:ind w:left="0" w:firstLine="0"/>
      </w:pPr>
      <w:rPr>
        <w:u w:val="none"/>
      </w:rPr>
    </w:lvl>
    <w:lvl w:ilvl="5">
      <w:start w:val="0"/>
      <w:numFmt w:val="decimal"/>
      <w:lvlText w:val=""/>
      <w:lvlJc w:val="left"/>
      <w:pPr>
        <w:ind w:left="0" w:firstLine="0"/>
      </w:pPr>
      <w:rPr>
        <w:u w:val="none"/>
      </w:rPr>
    </w:lvl>
    <w:lvl w:ilvl="6">
      <w:start w:val="0"/>
      <w:numFmt w:val="decimal"/>
      <w:lvlText w:val=""/>
      <w:lvlJc w:val="left"/>
      <w:pPr>
        <w:ind w:left="0" w:firstLine="0"/>
      </w:pPr>
      <w:rPr>
        <w:u w:val="none"/>
      </w:rPr>
    </w:lvl>
    <w:lvl w:ilvl="7">
      <w:start w:val="0"/>
      <w:numFmt w:val="decimal"/>
      <w:lvlText w:val=""/>
      <w:lvlJc w:val="left"/>
      <w:pPr>
        <w:ind w:left="0" w:firstLine="0"/>
      </w:pPr>
      <w:rPr>
        <w:u w:val="none"/>
      </w:rPr>
    </w:lvl>
    <w:lvl w:ilvl="8">
      <w:start w:val="0"/>
      <w:numFmt w:val="decimal"/>
      <w:lvlText w:val=""/>
      <w:lvlJc w:val="left"/>
      <w:pPr>
        <w:ind w:left="0" w:firstLine="0"/>
      </w:pPr>
      <w:rPr>
        <w:u w:val="none"/>
      </w:rPr>
    </w:lvl>
  </w:abstractNum>
  <w:abstractNum w:abstractNumId="5">
    <w:lvl w:ilvl="0">
      <w:start w:val="1"/>
      <w:numFmt w:val="decimal"/>
      <w:lvlText w:val=""/>
      <w:lvlJc w:val="left"/>
      <w:pPr>
        <w:ind w:left="0" w:firstLine="0"/>
      </w:pPr>
      <w:rPr>
        <w:u w:val="none"/>
      </w:rPr>
    </w:lvl>
    <w:lvl w:ilvl="1">
      <w:start w:val="0"/>
      <w:numFmt w:val="decimal"/>
      <w:lvlText w:val=""/>
      <w:lvlJc w:val="left"/>
      <w:pPr>
        <w:ind w:left="0" w:firstLine="0"/>
      </w:pPr>
      <w:rPr>
        <w:u w:val="none"/>
      </w:rPr>
    </w:lvl>
    <w:lvl w:ilvl="2">
      <w:start w:val="0"/>
      <w:numFmt w:val="decimal"/>
      <w:lvlText w:val=""/>
      <w:lvlJc w:val="left"/>
      <w:pPr>
        <w:ind w:left="0" w:firstLine="0"/>
      </w:pPr>
      <w:rPr>
        <w:u w:val="none"/>
      </w:rPr>
    </w:lvl>
    <w:lvl w:ilvl="3">
      <w:start w:val="0"/>
      <w:numFmt w:val="decimal"/>
      <w:lvlText w:val=""/>
      <w:lvlJc w:val="left"/>
      <w:pPr>
        <w:ind w:left="0" w:firstLine="0"/>
      </w:pPr>
      <w:rPr>
        <w:u w:val="none"/>
      </w:rPr>
    </w:lvl>
    <w:lvl w:ilvl="4">
      <w:start w:val="0"/>
      <w:numFmt w:val="decimal"/>
      <w:lvlText w:val=""/>
      <w:lvlJc w:val="left"/>
      <w:pPr>
        <w:ind w:left="0" w:firstLine="0"/>
      </w:pPr>
      <w:rPr>
        <w:u w:val="none"/>
      </w:rPr>
    </w:lvl>
    <w:lvl w:ilvl="5">
      <w:start w:val="0"/>
      <w:numFmt w:val="decimal"/>
      <w:lvlText w:val=""/>
      <w:lvlJc w:val="left"/>
      <w:pPr>
        <w:ind w:left="0" w:firstLine="0"/>
      </w:pPr>
      <w:rPr>
        <w:u w:val="none"/>
      </w:rPr>
    </w:lvl>
    <w:lvl w:ilvl="6">
      <w:start w:val="0"/>
      <w:numFmt w:val="decimal"/>
      <w:lvlText w:val=""/>
      <w:lvlJc w:val="left"/>
      <w:pPr>
        <w:ind w:left="0" w:firstLine="0"/>
      </w:pPr>
      <w:rPr>
        <w:u w:val="none"/>
      </w:rPr>
    </w:lvl>
    <w:lvl w:ilvl="7">
      <w:start w:val="0"/>
      <w:numFmt w:val="decimal"/>
      <w:lvlText w:val=""/>
      <w:lvlJc w:val="left"/>
      <w:pPr>
        <w:ind w:left="0" w:firstLine="0"/>
      </w:pPr>
      <w:rPr>
        <w:u w:val="none"/>
      </w:rPr>
    </w:lvl>
    <w:lvl w:ilvl="8">
      <w:start w:val="0"/>
      <w:numFmt w:val="decimal"/>
      <w:lvlText w:val=""/>
      <w:lvlJc w:val="left"/>
      <w:pPr>
        <w:ind w:left="0" w:firstLine="0"/>
      </w:pPr>
      <w:rPr>
        <w:u w:val="none"/>
      </w:rPr>
    </w:lvl>
  </w:abstractNum>
  <w:abstractNum w:abstractNumId="6">
    <w:lvl w:ilvl="0">
      <w:start w:val="1"/>
      <w:numFmt w:val="bullet"/>
      <w:lvlText w:val="●"/>
      <w:lvlJc w:val="left"/>
      <w:pPr>
        <w:ind w:left="360" w:hanging="360"/>
      </w:pPr>
      <w:rPr>
        <w:u w:val="none"/>
      </w:rPr>
    </w:lvl>
    <w:lvl w:ilvl="1">
      <w:start w:val="1"/>
      <w:numFmt w:val="bullet"/>
      <w:lvlText w:val=""/>
      <w:lvlJc w:val="left"/>
      <w:pPr>
        <w:ind w:left="0" w:firstLine="0"/>
      </w:pPr>
      <w:rPr>
        <w:u w:val="none"/>
      </w:rPr>
    </w:lvl>
    <w:lvl w:ilvl="2">
      <w:start w:val="1"/>
      <w:numFmt w:val="bullet"/>
      <w:lvlText w:val=""/>
      <w:lvlJc w:val="left"/>
      <w:pPr>
        <w:ind w:left="0" w:firstLine="0"/>
      </w:pPr>
      <w:rPr>
        <w:u w:val="none"/>
      </w:rPr>
    </w:lvl>
    <w:lvl w:ilvl="3">
      <w:start w:val="1"/>
      <w:numFmt w:val="bullet"/>
      <w:lvlText w:val=""/>
      <w:lvlJc w:val="left"/>
      <w:pPr>
        <w:ind w:left="0" w:firstLine="0"/>
      </w:pPr>
      <w:rPr>
        <w:u w:val="none"/>
      </w:rPr>
    </w:lvl>
    <w:lvl w:ilvl="4">
      <w:start w:val="1"/>
      <w:numFmt w:val="bullet"/>
      <w:lvlText w:val=""/>
      <w:lvlJc w:val="left"/>
      <w:pPr>
        <w:ind w:left="0" w:firstLine="0"/>
      </w:pPr>
      <w:rPr>
        <w:u w:val="none"/>
      </w:rPr>
    </w:lvl>
    <w:lvl w:ilvl="5">
      <w:start w:val="1"/>
      <w:numFmt w:val="bullet"/>
      <w:lvlText w:val=""/>
      <w:lvlJc w:val="left"/>
      <w:pPr>
        <w:ind w:left="0" w:firstLine="0"/>
      </w:pPr>
      <w:rPr>
        <w:u w:val="none"/>
      </w:rPr>
    </w:lvl>
    <w:lvl w:ilvl="6">
      <w:start w:val="1"/>
      <w:numFmt w:val="bullet"/>
      <w:lvlText w:val=""/>
      <w:lvlJc w:val="left"/>
      <w:pPr>
        <w:ind w:left="0" w:firstLine="0"/>
      </w:pPr>
      <w:rPr>
        <w:u w:val="none"/>
      </w:rPr>
    </w:lvl>
    <w:lvl w:ilvl="7">
      <w:start w:val="1"/>
      <w:numFmt w:val="bullet"/>
      <w:lvlText w:val=""/>
      <w:lvlJc w:val="left"/>
      <w:pPr>
        <w:ind w:left="0" w:firstLine="0"/>
      </w:pPr>
      <w:rPr>
        <w:u w:val="none"/>
      </w:rPr>
    </w:lvl>
    <w:lvl w:ilvl="8">
      <w:start w:val="1"/>
      <w:numFmt w:val="bullet"/>
      <w:lvlText w:val=""/>
      <w:lvlJc w:val="left"/>
      <w:pPr>
        <w:ind w:left="0" w:firstLine="0"/>
      </w:pPr>
      <w:rPr>
        <w:u w:val="none"/>
      </w:rPr>
    </w:lvl>
  </w:abstractNum>
  <w:abstractNum w:abstractNumId="7">
    <w:lvl w:ilvl="0">
      <w:start w:val="1"/>
      <w:numFmt w:val="decimal"/>
      <w:lvlText w:val="%1)"/>
      <w:lvlJc w:val="left"/>
      <w:pPr>
        <w:ind w:left="1080" w:hanging="360"/>
      </w:pPr>
      <w:rPr>
        <w:u w:val="none"/>
      </w:rPr>
    </w:lvl>
    <w:lvl w:ilvl="1">
      <w:start w:val="1"/>
      <w:numFmt w:val="lowerLetter"/>
      <w:lvlText w:val="%2."/>
      <w:lvlJc w:val="left"/>
      <w:pPr>
        <w:ind w:left="1800" w:hanging="360"/>
      </w:pPr>
      <w:rPr>
        <w:u w:val="none"/>
      </w:rPr>
    </w:lvl>
    <w:lvl w:ilvl="2">
      <w:start w:val="1"/>
      <w:numFmt w:val="lowerRoman"/>
      <w:lvlText w:val="%3."/>
      <w:lvlJc w:val="right"/>
      <w:pPr>
        <w:ind w:left="2520" w:hanging="180"/>
      </w:pPr>
      <w:rPr>
        <w:u w:val="none"/>
      </w:rPr>
    </w:lvl>
    <w:lvl w:ilvl="3">
      <w:start w:val="1"/>
      <w:numFmt w:val="decimal"/>
      <w:lvlText w:val="%4."/>
      <w:lvlJc w:val="left"/>
      <w:pPr>
        <w:ind w:left="3240" w:hanging="360"/>
      </w:pPr>
      <w:rPr>
        <w:u w:val="none"/>
      </w:rPr>
    </w:lvl>
    <w:lvl w:ilvl="4">
      <w:start w:val="1"/>
      <w:numFmt w:val="lowerLetter"/>
      <w:lvlText w:val="%5."/>
      <w:lvlJc w:val="left"/>
      <w:pPr>
        <w:ind w:left="3960" w:hanging="360"/>
      </w:pPr>
      <w:rPr>
        <w:u w:val="none"/>
      </w:rPr>
    </w:lvl>
    <w:lvl w:ilvl="5">
      <w:start w:val="1"/>
      <w:numFmt w:val="lowerRoman"/>
      <w:lvlText w:val="%6."/>
      <w:lvlJc w:val="right"/>
      <w:pPr>
        <w:ind w:left="4680" w:hanging="180"/>
      </w:pPr>
      <w:rPr>
        <w:u w:val="none"/>
      </w:rPr>
    </w:lvl>
    <w:lvl w:ilvl="6">
      <w:start w:val="1"/>
      <w:numFmt w:val="decimal"/>
      <w:lvlText w:val="%7."/>
      <w:lvlJc w:val="left"/>
      <w:pPr>
        <w:ind w:left="5400" w:hanging="360"/>
      </w:pPr>
      <w:rPr>
        <w:u w:val="none"/>
      </w:rPr>
    </w:lvl>
    <w:lvl w:ilvl="7">
      <w:start w:val="1"/>
      <w:numFmt w:val="lowerLetter"/>
      <w:lvlText w:val="%8."/>
      <w:lvlJc w:val="left"/>
      <w:pPr>
        <w:ind w:left="6120" w:hanging="360"/>
      </w:pPr>
      <w:rPr>
        <w:u w:val="none"/>
      </w:rPr>
    </w:lvl>
    <w:lvl w:ilvl="8">
      <w:start w:val="1"/>
      <w:numFmt w:val="lowerRoman"/>
      <w:lvlText w:val="%9."/>
      <w:lvlJc w:val="right"/>
      <w:pPr>
        <w:ind w:left="6840" w:hanging="180"/>
      </w:pPr>
      <w:rPr>
        <w:u w:val="none"/>
      </w:rPr>
    </w:lvl>
  </w:abstractNum>
  <w:abstractNum w:abstractNumId="8">
    <w:lvl w:ilvl="0">
      <w:start w:val="1"/>
      <w:numFmt w:val="decimal"/>
      <w:lvlText w:val=""/>
      <w:lvlJc w:val="left"/>
      <w:pPr>
        <w:ind w:left="0" w:firstLine="0"/>
      </w:pPr>
      <w:rPr>
        <w:u w:val="none"/>
      </w:rPr>
    </w:lvl>
    <w:lvl w:ilvl="1">
      <w:start w:val="0"/>
      <w:numFmt w:val="decimal"/>
      <w:lvlText w:val=""/>
      <w:lvlJc w:val="left"/>
      <w:pPr>
        <w:ind w:left="0" w:firstLine="0"/>
      </w:pPr>
      <w:rPr>
        <w:u w:val="none"/>
      </w:rPr>
    </w:lvl>
    <w:lvl w:ilvl="2">
      <w:start w:val="0"/>
      <w:numFmt w:val="decimal"/>
      <w:lvlText w:val=""/>
      <w:lvlJc w:val="left"/>
      <w:pPr>
        <w:ind w:left="0" w:firstLine="0"/>
      </w:pPr>
      <w:rPr>
        <w:u w:val="none"/>
      </w:rPr>
    </w:lvl>
    <w:lvl w:ilvl="3">
      <w:start w:val="0"/>
      <w:numFmt w:val="decimal"/>
      <w:lvlText w:val=""/>
      <w:lvlJc w:val="left"/>
      <w:pPr>
        <w:ind w:left="0" w:firstLine="0"/>
      </w:pPr>
      <w:rPr>
        <w:u w:val="none"/>
      </w:rPr>
    </w:lvl>
    <w:lvl w:ilvl="4">
      <w:start w:val="0"/>
      <w:numFmt w:val="decimal"/>
      <w:lvlText w:val=""/>
      <w:lvlJc w:val="left"/>
      <w:pPr>
        <w:ind w:left="0" w:firstLine="0"/>
      </w:pPr>
      <w:rPr>
        <w:u w:val="none"/>
      </w:rPr>
    </w:lvl>
    <w:lvl w:ilvl="5">
      <w:start w:val="0"/>
      <w:numFmt w:val="decimal"/>
      <w:lvlText w:val=""/>
      <w:lvlJc w:val="left"/>
      <w:pPr>
        <w:ind w:left="0" w:firstLine="0"/>
      </w:pPr>
      <w:rPr>
        <w:u w:val="none"/>
      </w:rPr>
    </w:lvl>
    <w:lvl w:ilvl="6">
      <w:start w:val="0"/>
      <w:numFmt w:val="decimal"/>
      <w:lvlText w:val=""/>
      <w:lvlJc w:val="left"/>
      <w:pPr>
        <w:ind w:left="0" w:firstLine="0"/>
      </w:pPr>
      <w:rPr>
        <w:u w:val="none"/>
      </w:rPr>
    </w:lvl>
    <w:lvl w:ilvl="7">
      <w:start w:val="0"/>
      <w:numFmt w:val="decimal"/>
      <w:lvlText w:val=""/>
      <w:lvlJc w:val="left"/>
      <w:pPr>
        <w:ind w:left="0" w:firstLine="0"/>
      </w:pPr>
      <w:rPr>
        <w:u w:val="none"/>
      </w:rPr>
    </w:lvl>
    <w:lvl w:ilvl="8">
      <w:start w:val="0"/>
      <w:numFmt w:val="decimal"/>
      <w:lvlText w:val=""/>
      <w:lvlJc w:val="left"/>
      <w:pPr>
        <w:ind w:left="0" w:firstLine="0"/>
      </w:pPr>
      <w:rPr>
        <w:u w:val="none"/>
      </w:rPr>
    </w:lvl>
  </w:abstractNum>
  <w:abstractNum w:abstractNumId="9">
    <w:lvl w:ilvl="0">
      <w:start w:val="1"/>
      <w:numFmt w:val="decimal"/>
      <w:lvlText w:val=""/>
      <w:lvlJc w:val="left"/>
      <w:pPr>
        <w:ind w:left="0" w:firstLine="0"/>
      </w:pPr>
      <w:rPr>
        <w:u w:val="none"/>
      </w:rPr>
    </w:lvl>
    <w:lvl w:ilvl="1">
      <w:start w:val="0"/>
      <w:numFmt w:val="decimal"/>
      <w:lvlText w:val=""/>
      <w:lvlJc w:val="left"/>
      <w:pPr>
        <w:ind w:left="0" w:firstLine="0"/>
      </w:pPr>
      <w:rPr>
        <w:u w:val="none"/>
      </w:rPr>
    </w:lvl>
    <w:lvl w:ilvl="2">
      <w:start w:val="0"/>
      <w:numFmt w:val="decimal"/>
      <w:lvlText w:val=""/>
      <w:lvlJc w:val="left"/>
      <w:pPr>
        <w:ind w:left="0" w:firstLine="0"/>
      </w:pPr>
      <w:rPr>
        <w:u w:val="none"/>
      </w:rPr>
    </w:lvl>
    <w:lvl w:ilvl="3">
      <w:start w:val="0"/>
      <w:numFmt w:val="decimal"/>
      <w:lvlText w:val=""/>
      <w:lvlJc w:val="left"/>
      <w:pPr>
        <w:ind w:left="0" w:firstLine="0"/>
      </w:pPr>
      <w:rPr>
        <w:u w:val="none"/>
      </w:rPr>
    </w:lvl>
    <w:lvl w:ilvl="4">
      <w:start w:val="0"/>
      <w:numFmt w:val="decimal"/>
      <w:lvlText w:val=""/>
      <w:lvlJc w:val="left"/>
      <w:pPr>
        <w:ind w:left="0" w:firstLine="0"/>
      </w:pPr>
      <w:rPr>
        <w:u w:val="none"/>
      </w:rPr>
    </w:lvl>
    <w:lvl w:ilvl="5">
      <w:start w:val="0"/>
      <w:numFmt w:val="decimal"/>
      <w:lvlText w:val=""/>
      <w:lvlJc w:val="left"/>
      <w:pPr>
        <w:ind w:left="0" w:firstLine="0"/>
      </w:pPr>
      <w:rPr>
        <w:u w:val="none"/>
      </w:rPr>
    </w:lvl>
    <w:lvl w:ilvl="6">
      <w:start w:val="0"/>
      <w:numFmt w:val="decimal"/>
      <w:lvlText w:val=""/>
      <w:lvlJc w:val="left"/>
      <w:pPr>
        <w:ind w:left="0" w:firstLine="0"/>
      </w:pPr>
      <w:rPr>
        <w:u w:val="none"/>
      </w:rPr>
    </w:lvl>
    <w:lvl w:ilvl="7">
      <w:start w:val="0"/>
      <w:numFmt w:val="decimal"/>
      <w:lvlText w:val=""/>
      <w:lvlJc w:val="left"/>
      <w:pPr>
        <w:ind w:left="0" w:firstLine="0"/>
      </w:pPr>
      <w:rPr>
        <w:u w:val="none"/>
      </w:rPr>
    </w:lvl>
    <w:lvl w:ilvl="8">
      <w:start w:val="0"/>
      <w:numFmt w:val="decimal"/>
      <w:lvlText w:val=""/>
      <w:lvlJc w:val="left"/>
      <w:pPr>
        <w:ind w:left="0" w:firstLine="0"/>
      </w:pPr>
      <w:rPr>
        <w:u w:val="none"/>
      </w:rPr>
    </w:lvl>
  </w:abstractNum>
  <w:abstractNum w:abstractNumId="10">
    <w:lvl w:ilvl="0">
      <w:start w:val="1"/>
      <w:numFmt w:val="decimal"/>
      <w:lvlText w:val=""/>
      <w:lvlJc w:val="left"/>
      <w:pPr>
        <w:ind w:left="0" w:firstLine="0"/>
      </w:pPr>
      <w:rPr>
        <w:u w:val="none"/>
      </w:rPr>
    </w:lvl>
    <w:lvl w:ilvl="1">
      <w:start w:val="0"/>
      <w:numFmt w:val="decimal"/>
      <w:lvlText w:val=""/>
      <w:lvlJc w:val="left"/>
      <w:pPr>
        <w:ind w:left="0" w:firstLine="0"/>
      </w:pPr>
      <w:rPr>
        <w:u w:val="none"/>
      </w:rPr>
    </w:lvl>
    <w:lvl w:ilvl="2">
      <w:start w:val="0"/>
      <w:numFmt w:val="decimal"/>
      <w:lvlText w:val=""/>
      <w:lvlJc w:val="left"/>
      <w:pPr>
        <w:ind w:left="0" w:firstLine="0"/>
      </w:pPr>
      <w:rPr>
        <w:u w:val="none"/>
      </w:rPr>
    </w:lvl>
    <w:lvl w:ilvl="3">
      <w:start w:val="0"/>
      <w:numFmt w:val="decimal"/>
      <w:lvlText w:val=""/>
      <w:lvlJc w:val="left"/>
      <w:pPr>
        <w:ind w:left="0" w:firstLine="0"/>
      </w:pPr>
      <w:rPr>
        <w:u w:val="none"/>
      </w:rPr>
    </w:lvl>
    <w:lvl w:ilvl="4">
      <w:start w:val="0"/>
      <w:numFmt w:val="decimal"/>
      <w:lvlText w:val=""/>
      <w:lvlJc w:val="left"/>
      <w:pPr>
        <w:ind w:left="0" w:firstLine="0"/>
      </w:pPr>
      <w:rPr>
        <w:u w:val="none"/>
      </w:rPr>
    </w:lvl>
    <w:lvl w:ilvl="5">
      <w:start w:val="0"/>
      <w:numFmt w:val="decimal"/>
      <w:lvlText w:val=""/>
      <w:lvlJc w:val="left"/>
      <w:pPr>
        <w:ind w:left="0" w:firstLine="0"/>
      </w:pPr>
      <w:rPr>
        <w:u w:val="none"/>
      </w:rPr>
    </w:lvl>
    <w:lvl w:ilvl="6">
      <w:start w:val="0"/>
      <w:numFmt w:val="decimal"/>
      <w:lvlText w:val=""/>
      <w:lvlJc w:val="left"/>
      <w:pPr>
        <w:ind w:left="0" w:firstLine="0"/>
      </w:pPr>
      <w:rPr>
        <w:u w:val="none"/>
      </w:rPr>
    </w:lvl>
    <w:lvl w:ilvl="7">
      <w:start w:val="0"/>
      <w:numFmt w:val="decimal"/>
      <w:lvlText w:val=""/>
      <w:lvlJc w:val="left"/>
      <w:pPr>
        <w:ind w:left="0" w:firstLine="0"/>
      </w:pPr>
      <w:rPr>
        <w:u w:val="none"/>
      </w:rPr>
    </w:lvl>
    <w:lvl w:ilvl="8">
      <w:start w:val="0"/>
      <w:numFmt w:val="decimal"/>
      <w:lvlText w:val=""/>
      <w:lvlJc w:val="left"/>
      <w:pPr>
        <w:ind w:left="0" w:firstLine="0"/>
      </w:pPr>
      <w:rPr>
        <w:u w:val="none"/>
      </w:rPr>
    </w:lvl>
  </w:abstractNum>
  <w:abstractNum w:abstractNumId="11">
    <w:lvl w:ilvl="0">
      <w:start w:val="1"/>
      <w:numFmt w:val="decimal"/>
      <w:lvlText w:val=""/>
      <w:lvlJc w:val="left"/>
      <w:pPr>
        <w:ind w:left="0" w:firstLine="0"/>
      </w:pPr>
      <w:rPr>
        <w:u w:val="none"/>
      </w:rPr>
    </w:lvl>
    <w:lvl w:ilvl="1">
      <w:start w:val="0"/>
      <w:numFmt w:val="decimal"/>
      <w:lvlText w:val=""/>
      <w:lvlJc w:val="left"/>
      <w:pPr>
        <w:ind w:left="0" w:firstLine="0"/>
      </w:pPr>
      <w:rPr>
        <w:u w:val="none"/>
      </w:rPr>
    </w:lvl>
    <w:lvl w:ilvl="2">
      <w:start w:val="0"/>
      <w:numFmt w:val="decimal"/>
      <w:lvlText w:val=""/>
      <w:lvlJc w:val="left"/>
      <w:pPr>
        <w:ind w:left="0" w:firstLine="0"/>
      </w:pPr>
      <w:rPr>
        <w:u w:val="none"/>
      </w:rPr>
    </w:lvl>
    <w:lvl w:ilvl="3">
      <w:start w:val="0"/>
      <w:numFmt w:val="decimal"/>
      <w:lvlText w:val=""/>
      <w:lvlJc w:val="left"/>
      <w:pPr>
        <w:ind w:left="0" w:firstLine="0"/>
      </w:pPr>
      <w:rPr>
        <w:u w:val="none"/>
      </w:rPr>
    </w:lvl>
    <w:lvl w:ilvl="4">
      <w:start w:val="0"/>
      <w:numFmt w:val="decimal"/>
      <w:lvlText w:val=""/>
      <w:lvlJc w:val="left"/>
      <w:pPr>
        <w:ind w:left="0" w:firstLine="0"/>
      </w:pPr>
      <w:rPr>
        <w:u w:val="none"/>
      </w:rPr>
    </w:lvl>
    <w:lvl w:ilvl="5">
      <w:start w:val="0"/>
      <w:numFmt w:val="decimal"/>
      <w:lvlText w:val=""/>
      <w:lvlJc w:val="left"/>
      <w:pPr>
        <w:ind w:left="0" w:firstLine="0"/>
      </w:pPr>
      <w:rPr>
        <w:u w:val="none"/>
      </w:rPr>
    </w:lvl>
    <w:lvl w:ilvl="6">
      <w:start w:val="0"/>
      <w:numFmt w:val="decimal"/>
      <w:lvlText w:val=""/>
      <w:lvlJc w:val="left"/>
      <w:pPr>
        <w:ind w:left="0" w:firstLine="0"/>
      </w:pPr>
      <w:rPr>
        <w:u w:val="none"/>
      </w:rPr>
    </w:lvl>
    <w:lvl w:ilvl="7">
      <w:start w:val="0"/>
      <w:numFmt w:val="decimal"/>
      <w:lvlText w:val=""/>
      <w:lvlJc w:val="left"/>
      <w:pPr>
        <w:ind w:left="0" w:firstLine="0"/>
      </w:pPr>
      <w:rPr>
        <w:u w:val="none"/>
      </w:rPr>
    </w:lvl>
    <w:lvl w:ilvl="8">
      <w:start w:val="0"/>
      <w:numFmt w:val="decimal"/>
      <w:lvlText w:val=""/>
      <w:lvlJc w:val="left"/>
      <w:pPr>
        <w:ind w:left="0" w:firstLine="0"/>
      </w:pPr>
      <w:rPr>
        <w:u w:val="none"/>
      </w:rPr>
    </w:lvl>
  </w:abstractNum>
  <w:abstractNum w:abstractNumId="12">
    <w:lvl w:ilvl="0">
      <w:start w:val="1"/>
      <w:numFmt w:val="bullet"/>
      <w:lvlText w:val="●"/>
      <w:lvlJc w:val="left"/>
      <w:pPr>
        <w:ind w:left="0" w:firstLine="0"/>
      </w:pPr>
      <w:rPr>
        <w:u w:val="none"/>
      </w:rPr>
    </w:lvl>
    <w:lvl w:ilvl="1">
      <w:start w:val="0"/>
      <w:numFmt w:val="decimal"/>
      <w:lvlText w:val=""/>
      <w:lvlJc w:val="left"/>
      <w:pPr>
        <w:ind w:left="0" w:firstLine="0"/>
      </w:pPr>
      <w:rPr>
        <w:u w:val="none"/>
      </w:rPr>
    </w:lvl>
    <w:lvl w:ilvl="2">
      <w:start w:val="0"/>
      <w:numFmt w:val="decimal"/>
      <w:lvlText w:val=""/>
      <w:lvlJc w:val="left"/>
      <w:pPr>
        <w:ind w:left="0" w:firstLine="0"/>
      </w:pPr>
      <w:rPr>
        <w:u w:val="none"/>
      </w:rPr>
    </w:lvl>
    <w:lvl w:ilvl="3">
      <w:start w:val="0"/>
      <w:numFmt w:val="decimal"/>
      <w:lvlText w:val=""/>
      <w:lvlJc w:val="left"/>
      <w:pPr>
        <w:ind w:left="0" w:firstLine="0"/>
      </w:pPr>
      <w:rPr>
        <w:u w:val="none"/>
      </w:rPr>
    </w:lvl>
    <w:lvl w:ilvl="4">
      <w:start w:val="0"/>
      <w:numFmt w:val="decimal"/>
      <w:lvlText w:val=""/>
      <w:lvlJc w:val="left"/>
      <w:pPr>
        <w:ind w:left="0" w:firstLine="0"/>
      </w:pPr>
      <w:rPr>
        <w:u w:val="none"/>
      </w:rPr>
    </w:lvl>
    <w:lvl w:ilvl="5">
      <w:start w:val="0"/>
      <w:numFmt w:val="decimal"/>
      <w:lvlText w:val=""/>
      <w:lvlJc w:val="left"/>
      <w:pPr>
        <w:ind w:left="0" w:firstLine="0"/>
      </w:pPr>
      <w:rPr>
        <w:u w:val="none"/>
      </w:rPr>
    </w:lvl>
    <w:lvl w:ilvl="6">
      <w:start w:val="0"/>
      <w:numFmt w:val="decimal"/>
      <w:lvlText w:val=""/>
      <w:lvlJc w:val="left"/>
      <w:pPr>
        <w:ind w:left="0" w:firstLine="0"/>
      </w:pPr>
      <w:rPr>
        <w:u w:val="none"/>
      </w:rPr>
    </w:lvl>
    <w:lvl w:ilvl="7">
      <w:start w:val="0"/>
      <w:numFmt w:val="decimal"/>
      <w:lvlText w:val=""/>
      <w:lvlJc w:val="left"/>
      <w:pPr>
        <w:ind w:left="0" w:firstLine="0"/>
      </w:pPr>
      <w:rPr>
        <w:u w:val="none"/>
      </w:rPr>
    </w:lvl>
    <w:lvl w:ilvl="8">
      <w:start w:val="0"/>
      <w:numFmt w:val="decimal"/>
      <w:lvlText w:val=""/>
      <w:lvlJc w:val="left"/>
      <w:pPr>
        <w:ind w:left="0" w:firstLine="0"/>
      </w:pPr>
      <w:rPr>
        <w:u w:val="none"/>
      </w:rPr>
    </w:lvl>
  </w:abstractNum>
  <w:abstractNum w:abstractNumId="13">
    <w:lvl w:ilvl="0">
      <w:start w:val="1"/>
      <w:numFmt w:val="bullet"/>
      <w:lvlText w:val="●"/>
      <w:lvlJc w:val="left"/>
      <w:pPr>
        <w:ind w:left="0" w:firstLine="0"/>
      </w:pPr>
      <w:rPr>
        <w:u w:val="none"/>
      </w:rPr>
    </w:lvl>
    <w:lvl w:ilvl="1">
      <w:start w:val="0"/>
      <w:numFmt w:val="decimal"/>
      <w:lvlText w:val=""/>
      <w:lvlJc w:val="left"/>
      <w:pPr>
        <w:ind w:left="0" w:firstLine="0"/>
      </w:pPr>
      <w:rPr>
        <w:u w:val="none"/>
      </w:rPr>
    </w:lvl>
    <w:lvl w:ilvl="2">
      <w:start w:val="0"/>
      <w:numFmt w:val="decimal"/>
      <w:lvlText w:val=""/>
      <w:lvlJc w:val="left"/>
      <w:pPr>
        <w:ind w:left="0" w:firstLine="0"/>
      </w:pPr>
      <w:rPr>
        <w:u w:val="none"/>
      </w:rPr>
    </w:lvl>
    <w:lvl w:ilvl="3">
      <w:start w:val="0"/>
      <w:numFmt w:val="decimal"/>
      <w:lvlText w:val=""/>
      <w:lvlJc w:val="left"/>
      <w:pPr>
        <w:ind w:left="0" w:firstLine="0"/>
      </w:pPr>
      <w:rPr>
        <w:u w:val="none"/>
      </w:rPr>
    </w:lvl>
    <w:lvl w:ilvl="4">
      <w:start w:val="0"/>
      <w:numFmt w:val="decimal"/>
      <w:lvlText w:val=""/>
      <w:lvlJc w:val="left"/>
      <w:pPr>
        <w:ind w:left="0" w:firstLine="0"/>
      </w:pPr>
      <w:rPr>
        <w:u w:val="none"/>
      </w:rPr>
    </w:lvl>
    <w:lvl w:ilvl="5">
      <w:start w:val="0"/>
      <w:numFmt w:val="decimal"/>
      <w:lvlText w:val=""/>
      <w:lvlJc w:val="left"/>
      <w:pPr>
        <w:ind w:left="0" w:firstLine="0"/>
      </w:pPr>
      <w:rPr>
        <w:u w:val="none"/>
      </w:rPr>
    </w:lvl>
    <w:lvl w:ilvl="6">
      <w:start w:val="0"/>
      <w:numFmt w:val="decimal"/>
      <w:lvlText w:val=""/>
      <w:lvlJc w:val="left"/>
      <w:pPr>
        <w:ind w:left="0" w:firstLine="0"/>
      </w:pPr>
      <w:rPr>
        <w:u w:val="none"/>
      </w:rPr>
    </w:lvl>
    <w:lvl w:ilvl="7">
      <w:start w:val="0"/>
      <w:numFmt w:val="decimal"/>
      <w:lvlText w:val=""/>
      <w:lvlJc w:val="left"/>
      <w:pPr>
        <w:ind w:left="0" w:firstLine="0"/>
      </w:pPr>
      <w:rPr>
        <w:u w:val="none"/>
      </w:rPr>
    </w:lvl>
    <w:lvl w:ilvl="8">
      <w:start w:val="0"/>
      <w:numFmt w:val="decimal"/>
      <w:lvlText w:val=""/>
      <w:lvlJc w:val="left"/>
      <w:pPr>
        <w:ind w:left="0" w:firstLine="0"/>
      </w:pPr>
      <w:rPr>
        <w:u w:val="none"/>
      </w:rPr>
    </w:lvl>
  </w:abstractNum>
  <w:abstractNum w:abstractNumId="14">
    <w:lvl w:ilvl="0">
      <w:start w:val="1"/>
      <w:numFmt w:val="decimal"/>
      <w:lvlText w:val=""/>
      <w:lvlJc w:val="left"/>
      <w:pPr>
        <w:ind w:left="0" w:firstLine="0"/>
      </w:pPr>
      <w:rPr>
        <w:u w:val="none"/>
      </w:rPr>
    </w:lvl>
    <w:lvl w:ilvl="1">
      <w:start w:val="0"/>
      <w:numFmt w:val="decimal"/>
      <w:lvlText w:val=""/>
      <w:lvlJc w:val="left"/>
      <w:pPr>
        <w:ind w:left="0" w:firstLine="0"/>
      </w:pPr>
      <w:rPr>
        <w:u w:val="none"/>
      </w:rPr>
    </w:lvl>
    <w:lvl w:ilvl="2">
      <w:start w:val="0"/>
      <w:numFmt w:val="decimal"/>
      <w:lvlText w:val=""/>
      <w:lvlJc w:val="left"/>
      <w:pPr>
        <w:ind w:left="0" w:firstLine="0"/>
      </w:pPr>
      <w:rPr>
        <w:u w:val="none"/>
      </w:rPr>
    </w:lvl>
    <w:lvl w:ilvl="3">
      <w:start w:val="0"/>
      <w:numFmt w:val="decimal"/>
      <w:lvlText w:val=""/>
      <w:lvlJc w:val="left"/>
      <w:pPr>
        <w:ind w:left="0" w:firstLine="0"/>
      </w:pPr>
      <w:rPr>
        <w:u w:val="none"/>
      </w:rPr>
    </w:lvl>
    <w:lvl w:ilvl="4">
      <w:start w:val="0"/>
      <w:numFmt w:val="decimal"/>
      <w:lvlText w:val=""/>
      <w:lvlJc w:val="left"/>
      <w:pPr>
        <w:ind w:left="0" w:firstLine="0"/>
      </w:pPr>
      <w:rPr>
        <w:u w:val="none"/>
      </w:rPr>
    </w:lvl>
    <w:lvl w:ilvl="5">
      <w:start w:val="0"/>
      <w:numFmt w:val="decimal"/>
      <w:lvlText w:val=""/>
      <w:lvlJc w:val="left"/>
      <w:pPr>
        <w:ind w:left="0" w:firstLine="0"/>
      </w:pPr>
      <w:rPr>
        <w:u w:val="none"/>
      </w:rPr>
    </w:lvl>
    <w:lvl w:ilvl="6">
      <w:start w:val="0"/>
      <w:numFmt w:val="decimal"/>
      <w:lvlText w:val=""/>
      <w:lvlJc w:val="left"/>
      <w:pPr>
        <w:ind w:left="0" w:firstLine="0"/>
      </w:pPr>
      <w:rPr>
        <w:u w:val="none"/>
      </w:rPr>
    </w:lvl>
    <w:lvl w:ilvl="7">
      <w:start w:val="0"/>
      <w:numFmt w:val="decimal"/>
      <w:lvlText w:val=""/>
      <w:lvlJc w:val="left"/>
      <w:pPr>
        <w:ind w:left="0" w:firstLine="0"/>
      </w:pPr>
      <w:rPr>
        <w:u w:val="none"/>
      </w:rPr>
    </w:lvl>
    <w:lvl w:ilvl="8">
      <w:start w:val="0"/>
      <w:numFmt w:val="decimal"/>
      <w:lvlText w:val=""/>
      <w:lvlJc w:val="left"/>
      <w:pPr>
        <w:ind w:left="0" w:firstLine="0"/>
      </w:pPr>
      <w:rPr>
        <w:u w:val="none"/>
      </w:rPr>
    </w:lvl>
  </w:abstractNum>
  <w:abstractNum w:abstractNumId="15">
    <w:lvl w:ilvl="0">
      <w:start w:val="1"/>
      <w:numFmt w:val="decimal"/>
      <w:lvlText w:val=""/>
      <w:lvlJc w:val="left"/>
      <w:pPr>
        <w:ind w:left="0" w:firstLine="0"/>
      </w:pPr>
      <w:rPr>
        <w:u w:val="none"/>
      </w:rPr>
    </w:lvl>
    <w:lvl w:ilvl="1">
      <w:start w:val="0"/>
      <w:numFmt w:val="decimal"/>
      <w:lvlText w:val=""/>
      <w:lvlJc w:val="left"/>
      <w:pPr>
        <w:ind w:left="0" w:firstLine="0"/>
      </w:pPr>
      <w:rPr>
        <w:u w:val="none"/>
      </w:rPr>
    </w:lvl>
    <w:lvl w:ilvl="2">
      <w:start w:val="0"/>
      <w:numFmt w:val="decimal"/>
      <w:lvlText w:val=""/>
      <w:lvlJc w:val="left"/>
      <w:pPr>
        <w:ind w:left="0" w:firstLine="0"/>
      </w:pPr>
      <w:rPr>
        <w:u w:val="none"/>
      </w:rPr>
    </w:lvl>
    <w:lvl w:ilvl="3">
      <w:start w:val="0"/>
      <w:numFmt w:val="decimal"/>
      <w:lvlText w:val=""/>
      <w:lvlJc w:val="left"/>
      <w:pPr>
        <w:ind w:left="0" w:firstLine="0"/>
      </w:pPr>
      <w:rPr>
        <w:u w:val="none"/>
      </w:rPr>
    </w:lvl>
    <w:lvl w:ilvl="4">
      <w:start w:val="0"/>
      <w:numFmt w:val="decimal"/>
      <w:lvlText w:val=""/>
      <w:lvlJc w:val="left"/>
      <w:pPr>
        <w:ind w:left="0" w:firstLine="0"/>
      </w:pPr>
      <w:rPr>
        <w:u w:val="none"/>
      </w:rPr>
    </w:lvl>
    <w:lvl w:ilvl="5">
      <w:start w:val="0"/>
      <w:numFmt w:val="decimal"/>
      <w:lvlText w:val=""/>
      <w:lvlJc w:val="left"/>
      <w:pPr>
        <w:ind w:left="0" w:firstLine="0"/>
      </w:pPr>
      <w:rPr>
        <w:u w:val="none"/>
      </w:rPr>
    </w:lvl>
    <w:lvl w:ilvl="6">
      <w:start w:val="0"/>
      <w:numFmt w:val="decimal"/>
      <w:lvlText w:val=""/>
      <w:lvlJc w:val="left"/>
      <w:pPr>
        <w:ind w:left="0" w:firstLine="0"/>
      </w:pPr>
      <w:rPr>
        <w:u w:val="none"/>
      </w:rPr>
    </w:lvl>
    <w:lvl w:ilvl="7">
      <w:start w:val="0"/>
      <w:numFmt w:val="decimal"/>
      <w:lvlText w:val=""/>
      <w:lvlJc w:val="left"/>
      <w:pPr>
        <w:ind w:left="0" w:firstLine="0"/>
      </w:pPr>
      <w:rPr>
        <w:u w:val="none"/>
      </w:rPr>
    </w:lvl>
    <w:lvl w:ilvl="8">
      <w:start w:val="0"/>
      <w:numFmt w:val="decimal"/>
      <w:lvlText w:val=""/>
      <w:lvlJc w:val="left"/>
      <w:pPr>
        <w:ind w:left="0" w:firstLine="0"/>
      </w:pPr>
      <w:rPr>
        <w:u w:val="none"/>
      </w:rPr>
    </w:lvl>
  </w:abstractNum>
  <w:abstractNum w:abstractNumId="16">
    <w:lvl w:ilvl="0">
      <w:start w:val="1"/>
      <w:numFmt w:val="decimal"/>
      <w:lvlText w:val=""/>
      <w:lvlJc w:val="left"/>
      <w:pPr>
        <w:ind w:left="0" w:firstLine="0"/>
      </w:pPr>
      <w:rPr>
        <w:u w:val="none"/>
      </w:rPr>
    </w:lvl>
    <w:lvl w:ilvl="1">
      <w:start w:val="0"/>
      <w:numFmt w:val="decimal"/>
      <w:lvlText w:val=""/>
      <w:lvlJc w:val="left"/>
      <w:pPr>
        <w:ind w:left="0" w:firstLine="0"/>
      </w:pPr>
      <w:rPr>
        <w:u w:val="none"/>
      </w:rPr>
    </w:lvl>
    <w:lvl w:ilvl="2">
      <w:start w:val="0"/>
      <w:numFmt w:val="decimal"/>
      <w:lvlText w:val=""/>
      <w:lvlJc w:val="left"/>
      <w:pPr>
        <w:ind w:left="0" w:firstLine="0"/>
      </w:pPr>
      <w:rPr>
        <w:u w:val="none"/>
      </w:rPr>
    </w:lvl>
    <w:lvl w:ilvl="3">
      <w:start w:val="0"/>
      <w:numFmt w:val="decimal"/>
      <w:lvlText w:val=""/>
      <w:lvlJc w:val="left"/>
      <w:pPr>
        <w:ind w:left="0" w:firstLine="0"/>
      </w:pPr>
      <w:rPr>
        <w:u w:val="none"/>
      </w:rPr>
    </w:lvl>
    <w:lvl w:ilvl="4">
      <w:start w:val="0"/>
      <w:numFmt w:val="decimal"/>
      <w:lvlText w:val=""/>
      <w:lvlJc w:val="left"/>
      <w:pPr>
        <w:ind w:left="0" w:firstLine="0"/>
      </w:pPr>
      <w:rPr>
        <w:u w:val="none"/>
      </w:rPr>
    </w:lvl>
    <w:lvl w:ilvl="5">
      <w:start w:val="0"/>
      <w:numFmt w:val="decimal"/>
      <w:lvlText w:val=""/>
      <w:lvlJc w:val="left"/>
      <w:pPr>
        <w:ind w:left="0" w:firstLine="0"/>
      </w:pPr>
      <w:rPr>
        <w:u w:val="none"/>
      </w:rPr>
    </w:lvl>
    <w:lvl w:ilvl="6">
      <w:start w:val="0"/>
      <w:numFmt w:val="decimal"/>
      <w:lvlText w:val=""/>
      <w:lvlJc w:val="left"/>
      <w:pPr>
        <w:ind w:left="0" w:firstLine="0"/>
      </w:pPr>
      <w:rPr>
        <w:u w:val="none"/>
      </w:rPr>
    </w:lvl>
    <w:lvl w:ilvl="7">
      <w:start w:val="0"/>
      <w:numFmt w:val="decimal"/>
      <w:lvlText w:val=""/>
      <w:lvlJc w:val="left"/>
      <w:pPr>
        <w:ind w:left="0" w:firstLine="0"/>
      </w:pPr>
      <w:rPr>
        <w:u w:val="none"/>
      </w:rPr>
    </w:lvl>
    <w:lvl w:ilvl="8">
      <w:start w:val="0"/>
      <w:numFmt w:val="decimal"/>
      <w:lvlText w:val=""/>
      <w:lvlJc w:val="left"/>
      <w:pPr>
        <w:ind w:left="0" w:firstLine="0"/>
      </w:pPr>
      <w:rPr>
        <w:u w:val="none"/>
      </w:rPr>
    </w:lvl>
  </w:abstractNum>
  <w:abstractNum w:abstractNumId="17">
    <w:lvl w:ilvl="0">
      <w:start w:val="1"/>
      <w:numFmt w:val="decimal"/>
      <w:lvlText w:val=""/>
      <w:lvlJc w:val="left"/>
      <w:pPr>
        <w:ind w:left="0" w:firstLine="0"/>
      </w:pPr>
      <w:rPr>
        <w:u w:val="none"/>
      </w:rPr>
    </w:lvl>
    <w:lvl w:ilvl="1">
      <w:start w:val="0"/>
      <w:numFmt w:val="decimal"/>
      <w:lvlText w:val=""/>
      <w:lvlJc w:val="left"/>
      <w:pPr>
        <w:ind w:left="0" w:firstLine="0"/>
      </w:pPr>
      <w:rPr>
        <w:u w:val="none"/>
      </w:rPr>
    </w:lvl>
    <w:lvl w:ilvl="2">
      <w:start w:val="0"/>
      <w:numFmt w:val="decimal"/>
      <w:lvlText w:val=""/>
      <w:lvlJc w:val="left"/>
      <w:pPr>
        <w:ind w:left="0" w:firstLine="0"/>
      </w:pPr>
      <w:rPr>
        <w:u w:val="none"/>
      </w:rPr>
    </w:lvl>
    <w:lvl w:ilvl="3">
      <w:start w:val="0"/>
      <w:numFmt w:val="decimal"/>
      <w:lvlText w:val=""/>
      <w:lvlJc w:val="left"/>
      <w:pPr>
        <w:ind w:left="0" w:firstLine="0"/>
      </w:pPr>
      <w:rPr>
        <w:u w:val="none"/>
      </w:rPr>
    </w:lvl>
    <w:lvl w:ilvl="4">
      <w:start w:val="0"/>
      <w:numFmt w:val="decimal"/>
      <w:lvlText w:val=""/>
      <w:lvlJc w:val="left"/>
      <w:pPr>
        <w:ind w:left="0" w:firstLine="0"/>
      </w:pPr>
      <w:rPr>
        <w:u w:val="none"/>
      </w:rPr>
    </w:lvl>
    <w:lvl w:ilvl="5">
      <w:start w:val="0"/>
      <w:numFmt w:val="decimal"/>
      <w:lvlText w:val=""/>
      <w:lvlJc w:val="left"/>
      <w:pPr>
        <w:ind w:left="0" w:firstLine="0"/>
      </w:pPr>
      <w:rPr>
        <w:u w:val="none"/>
      </w:rPr>
    </w:lvl>
    <w:lvl w:ilvl="6">
      <w:start w:val="0"/>
      <w:numFmt w:val="decimal"/>
      <w:lvlText w:val=""/>
      <w:lvlJc w:val="left"/>
      <w:pPr>
        <w:ind w:left="0" w:firstLine="0"/>
      </w:pPr>
      <w:rPr>
        <w:u w:val="none"/>
      </w:rPr>
    </w:lvl>
    <w:lvl w:ilvl="7">
      <w:start w:val="0"/>
      <w:numFmt w:val="decimal"/>
      <w:lvlText w:val=""/>
      <w:lvlJc w:val="left"/>
      <w:pPr>
        <w:ind w:left="0" w:firstLine="0"/>
      </w:pPr>
      <w:rPr>
        <w:u w:val="none"/>
      </w:rPr>
    </w:lvl>
    <w:lvl w:ilvl="8">
      <w:start w:val="0"/>
      <w:numFmt w:val="decimal"/>
      <w:lvlText w:val=""/>
      <w:lvlJc w:val="left"/>
      <w:pPr>
        <w:ind w:left="0" w:firstLine="0"/>
      </w:pPr>
      <w:rPr>
        <w:u w:val="none"/>
      </w:rPr>
    </w:lvl>
  </w:abstractNum>
  <w:abstractNum w:abstractNumId="18">
    <w:lvl w:ilvl="0">
      <w:start w:val="1"/>
      <w:numFmt w:val="decimal"/>
      <w:lvlText w:val=""/>
      <w:lvlJc w:val="left"/>
      <w:pPr>
        <w:ind w:left="0" w:firstLine="0"/>
      </w:pPr>
      <w:rPr>
        <w:u w:val="none"/>
      </w:rPr>
    </w:lvl>
    <w:lvl w:ilvl="1">
      <w:start w:val="0"/>
      <w:numFmt w:val="decimal"/>
      <w:lvlText w:val=""/>
      <w:lvlJc w:val="left"/>
      <w:pPr>
        <w:ind w:left="0" w:firstLine="0"/>
      </w:pPr>
      <w:rPr>
        <w:u w:val="none"/>
      </w:rPr>
    </w:lvl>
    <w:lvl w:ilvl="2">
      <w:start w:val="0"/>
      <w:numFmt w:val="decimal"/>
      <w:lvlText w:val=""/>
      <w:lvlJc w:val="left"/>
      <w:pPr>
        <w:ind w:left="0" w:firstLine="0"/>
      </w:pPr>
      <w:rPr>
        <w:u w:val="none"/>
      </w:rPr>
    </w:lvl>
    <w:lvl w:ilvl="3">
      <w:start w:val="0"/>
      <w:numFmt w:val="decimal"/>
      <w:lvlText w:val=""/>
      <w:lvlJc w:val="left"/>
      <w:pPr>
        <w:ind w:left="0" w:firstLine="0"/>
      </w:pPr>
      <w:rPr>
        <w:u w:val="none"/>
      </w:rPr>
    </w:lvl>
    <w:lvl w:ilvl="4">
      <w:start w:val="0"/>
      <w:numFmt w:val="decimal"/>
      <w:lvlText w:val=""/>
      <w:lvlJc w:val="left"/>
      <w:pPr>
        <w:ind w:left="0" w:firstLine="0"/>
      </w:pPr>
      <w:rPr>
        <w:u w:val="none"/>
      </w:rPr>
    </w:lvl>
    <w:lvl w:ilvl="5">
      <w:start w:val="0"/>
      <w:numFmt w:val="decimal"/>
      <w:lvlText w:val=""/>
      <w:lvlJc w:val="left"/>
      <w:pPr>
        <w:ind w:left="0" w:firstLine="0"/>
      </w:pPr>
      <w:rPr>
        <w:u w:val="none"/>
      </w:rPr>
    </w:lvl>
    <w:lvl w:ilvl="6">
      <w:start w:val="0"/>
      <w:numFmt w:val="decimal"/>
      <w:lvlText w:val=""/>
      <w:lvlJc w:val="left"/>
      <w:pPr>
        <w:ind w:left="0" w:firstLine="0"/>
      </w:pPr>
      <w:rPr>
        <w:u w:val="none"/>
      </w:rPr>
    </w:lvl>
    <w:lvl w:ilvl="7">
      <w:start w:val="0"/>
      <w:numFmt w:val="decimal"/>
      <w:lvlText w:val=""/>
      <w:lvlJc w:val="left"/>
      <w:pPr>
        <w:ind w:left="0" w:firstLine="0"/>
      </w:pPr>
      <w:rPr>
        <w:u w:val="none"/>
      </w:rPr>
    </w:lvl>
    <w:lvl w:ilvl="8">
      <w:start w:val="0"/>
      <w:numFmt w:val="decimal"/>
      <w:lvlText w:val=""/>
      <w:lvlJc w:val="left"/>
      <w:pPr>
        <w:ind w:left="0" w:firstLine="0"/>
      </w:pPr>
      <w:rPr>
        <w:u w:val="none"/>
      </w:rPr>
    </w:lvl>
  </w:abstractNum>
  <w:abstractNum w:abstractNumId="19">
    <w:lvl w:ilvl="0">
      <w:start w:val="1"/>
      <w:numFmt w:val="decimal"/>
      <w:lvlText w:val=""/>
      <w:lvlJc w:val="left"/>
      <w:pPr>
        <w:ind w:left="0" w:firstLine="0"/>
      </w:pPr>
      <w:rPr>
        <w:u w:val="none"/>
      </w:rPr>
    </w:lvl>
    <w:lvl w:ilvl="1">
      <w:start w:val="0"/>
      <w:numFmt w:val="decimal"/>
      <w:lvlText w:val=""/>
      <w:lvlJc w:val="left"/>
      <w:pPr>
        <w:ind w:left="0" w:firstLine="0"/>
      </w:pPr>
      <w:rPr>
        <w:u w:val="none"/>
      </w:rPr>
    </w:lvl>
    <w:lvl w:ilvl="2">
      <w:start w:val="0"/>
      <w:numFmt w:val="decimal"/>
      <w:lvlText w:val=""/>
      <w:lvlJc w:val="left"/>
      <w:pPr>
        <w:ind w:left="0" w:firstLine="0"/>
      </w:pPr>
      <w:rPr>
        <w:u w:val="none"/>
      </w:rPr>
    </w:lvl>
    <w:lvl w:ilvl="3">
      <w:start w:val="0"/>
      <w:numFmt w:val="decimal"/>
      <w:lvlText w:val=""/>
      <w:lvlJc w:val="left"/>
      <w:pPr>
        <w:ind w:left="0" w:firstLine="0"/>
      </w:pPr>
      <w:rPr>
        <w:u w:val="none"/>
      </w:rPr>
    </w:lvl>
    <w:lvl w:ilvl="4">
      <w:start w:val="0"/>
      <w:numFmt w:val="decimal"/>
      <w:lvlText w:val=""/>
      <w:lvlJc w:val="left"/>
      <w:pPr>
        <w:ind w:left="0" w:firstLine="0"/>
      </w:pPr>
      <w:rPr>
        <w:u w:val="none"/>
      </w:rPr>
    </w:lvl>
    <w:lvl w:ilvl="5">
      <w:start w:val="0"/>
      <w:numFmt w:val="decimal"/>
      <w:lvlText w:val=""/>
      <w:lvlJc w:val="left"/>
      <w:pPr>
        <w:ind w:left="0" w:firstLine="0"/>
      </w:pPr>
      <w:rPr>
        <w:u w:val="none"/>
      </w:rPr>
    </w:lvl>
    <w:lvl w:ilvl="6">
      <w:start w:val="0"/>
      <w:numFmt w:val="decimal"/>
      <w:lvlText w:val=""/>
      <w:lvlJc w:val="left"/>
      <w:pPr>
        <w:ind w:left="0" w:firstLine="0"/>
      </w:pPr>
      <w:rPr>
        <w:u w:val="none"/>
      </w:rPr>
    </w:lvl>
    <w:lvl w:ilvl="7">
      <w:start w:val="0"/>
      <w:numFmt w:val="decimal"/>
      <w:lvlText w:val=""/>
      <w:lvlJc w:val="left"/>
      <w:pPr>
        <w:ind w:left="0" w:firstLine="0"/>
      </w:pPr>
      <w:rPr>
        <w:u w:val="none"/>
      </w:rPr>
    </w:lvl>
    <w:lvl w:ilvl="8">
      <w:start w:val="0"/>
      <w:numFmt w:val="decimal"/>
      <w:lvlText w:val=""/>
      <w:lvlJc w:val="left"/>
      <w:pPr>
        <w:ind w:left="0" w:firstLine="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it"/>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hyperlink" Target="mailto:infocer@comune.bedizzole.bs.it" TargetMode="External"/><Relationship Id="rId7" Type="http://schemas.openxmlformats.org/officeDocument/2006/relationships/hyperlink" Target="mailto:cer2@gardauno.it" TargetMode="External"/><Relationship Id="rId8" Type="http://schemas.openxmlformats.org/officeDocument/2006/relationships/hyperlink" Target="mailto:infocer@gardauno.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